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9E" w:rsidRPr="00D737EC" w:rsidRDefault="007A7B9E" w:rsidP="007A7B9E">
      <w:pPr>
        <w:pStyle w:val="a8"/>
        <w:spacing w:before="0" w:beforeAutospacing="0" w:after="0" w:afterAutospacing="0"/>
        <w:ind w:left="11328" w:firstLine="708"/>
        <w:rPr>
          <w:sz w:val="22"/>
          <w:szCs w:val="28"/>
        </w:rPr>
      </w:pPr>
      <w:bookmarkStart w:id="0" w:name="_GoBack"/>
      <w:bookmarkEnd w:id="0"/>
      <w:r w:rsidRPr="00D737EC">
        <w:rPr>
          <w:sz w:val="22"/>
          <w:szCs w:val="28"/>
        </w:rPr>
        <w:t>УТВЕРЖДЕН</w:t>
      </w:r>
    </w:p>
    <w:p w:rsidR="007A7B9E" w:rsidRPr="00D737EC" w:rsidRDefault="007A7B9E" w:rsidP="007A7B9E">
      <w:pPr>
        <w:pStyle w:val="a8"/>
        <w:spacing w:before="0" w:beforeAutospacing="0" w:after="0" w:afterAutospacing="0"/>
        <w:ind w:left="10620" w:firstLine="708"/>
        <w:rPr>
          <w:sz w:val="22"/>
          <w:szCs w:val="28"/>
        </w:rPr>
      </w:pPr>
      <w:r w:rsidRPr="00D737EC">
        <w:rPr>
          <w:sz w:val="22"/>
          <w:szCs w:val="28"/>
        </w:rPr>
        <w:t>приказом министерства</w:t>
      </w:r>
    </w:p>
    <w:p w:rsidR="007A7B9E" w:rsidRPr="00D737EC" w:rsidRDefault="007A7B9E" w:rsidP="007A7B9E">
      <w:pPr>
        <w:pStyle w:val="a8"/>
        <w:spacing w:before="0" w:beforeAutospacing="0" w:after="0" w:afterAutospacing="0"/>
        <w:ind w:left="10620" w:firstLine="708"/>
        <w:rPr>
          <w:sz w:val="22"/>
          <w:szCs w:val="28"/>
        </w:rPr>
      </w:pPr>
      <w:r w:rsidRPr="00D737EC">
        <w:rPr>
          <w:sz w:val="22"/>
          <w:szCs w:val="28"/>
        </w:rPr>
        <w:t>образования и науки</w:t>
      </w:r>
    </w:p>
    <w:p w:rsidR="007A7B9E" w:rsidRPr="00D737EC" w:rsidRDefault="007A7B9E" w:rsidP="007A7B9E">
      <w:pPr>
        <w:pStyle w:val="a8"/>
        <w:spacing w:before="0" w:beforeAutospacing="0" w:after="0" w:afterAutospacing="0"/>
        <w:ind w:left="10620" w:firstLine="708"/>
        <w:rPr>
          <w:sz w:val="22"/>
          <w:szCs w:val="28"/>
        </w:rPr>
      </w:pPr>
      <w:r w:rsidRPr="00D737EC">
        <w:rPr>
          <w:sz w:val="22"/>
          <w:szCs w:val="28"/>
        </w:rPr>
        <w:t>Хабаровского края</w:t>
      </w:r>
    </w:p>
    <w:p w:rsidR="007A7B9E" w:rsidRDefault="007A7B9E" w:rsidP="007A7B9E">
      <w:pPr>
        <w:pStyle w:val="a8"/>
        <w:spacing w:before="0" w:beforeAutospacing="0" w:after="0" w:afterAutospacing="0"/>
        <w:ind w:left="10620" w:firstLine="708"/>
        <w:rPr>
          <w:sz w:val="28"/>
          <w:szCs w:val="28"/>
        </w:rPr>
      </w:pPr>
      <w:r w:rsidRPr="00D737EC">
        <w:rPr>
          <w:color w:val="000000" w:themeColor="text1"/>
          <w:sz w:val="22"/>
          <w:szCs w:val="28"/>
        </w:rPr>
        <w:t>"29" 12.</w:t>
      </w:r>
      <w:r w:rsidRPr="00D737EC">
        <w:rPr>
          <w:sz w:val="22"/>
          <w:szCs w:val="28"/>
        </w:rPr>
        <w:t xml:space="preserve"> 2014 № 77</w:t>
      </w:r>
      <w:r>
        <w:rPr>
          <w:sz w:val="28"/>
          <w:szCs w:val="28"/>
        </w:rPr>
        <w:t>___</w:t>
      </w:r>
    </w:p>
    <w:p w:rsidR="00F30E5E" w:rsidRDefault="00F30E5E" w:rsidP="007A7B9E">
      <w:pPr>
        <w:spacing w:after="0" w:line="2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7B9E" w:rsidRDefault="007A7B9E" w:rsidP="007A7B9E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педагогических работников</w:t>
      </w:r>
    </w:p>
    <w:p w:rsidR="007A7B9E" w:rsidRDefault="007A7B9E" w:rsidP="007A7B9E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7A7B9E" w:rsidRDefault="007A7B9E" w:rsidP="007A7B9E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 xml:space="preserve"> по должности «социальный педагог»</w:t>
      </w:r>
    </w:p>
    <w:p w:rsidR="007A7B9E" w:rsidRDefault="007A7B9E" w:rsidP="007A7B9E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8AF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</w:p>
    <w:p w:rsidR="007A7B9E" w:rsidRPr="008818AF" w:rsidRDefault="007A7B9E" w:rsidP="007A7B9E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8818AF">
        <w:rPr>
          <w:rFonts w:ascii="Times New Roman" w:hAnsi="Times New Roman" w:cs="Times New Roman"/>
          <w:i/>
          <w:sz w:val="24"/>
          <w:szCs w:val="24"/>
        </w:rPr>
        <w:t>)</w:t>
      </w:r>
    </w:p>
    <w:p w:rsidR="007A7B9E" w:rsidRPr="008818AF" w:rsidRDefault="007A7B9E" w:rsidP="007A7B9E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7B9E" w:rsidRPr="008818AF" w:rsidRDefault="007A7B9E" w:rsidP="007A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пунктов. 36, 37 Порядка проведения аттестации педагогических рабо</w:t>
      </w:r>
      <w:r w:rsidRPr="008818AF">
        <w:rPr>
          <w:rFonts w:ascii="Times New Roman" w:hAnsi="Times New Roman" w:cs="Times New Roman"/>
          <w:sz w:val="24"/>
          <w:szCs w:val="24"/>
        </w:rPr>
        <w:t>т</w:t>
      </w:r>
      <w:r w:rsidRPr="008818AF">
        <w:rPr>
          <w:rFonts w:ascii="Times New Roman" w:hAnsi="Times New Roman" w:cs="Times New Roman"/>
          <w:sz w:val="24"/>
          <w:szCs w:val="24"/>
        </w:rPr>
        <w:t>ников организаций, осуществляющих образовательную деятельность, утвержденного приказом Министерства образования и науки Российской Ф</w:t>
      </w:r>
      <w:r w:rsidRPr="008818AF">
        <w:rPr>
          <w:rFonts w:ascii="Times New Roman" w:hAnsi="Times New Roman" w:cs="Times New Roman"/>
          <w:sz w:val="24"/>
          <w:szCs w:val="24"/>
        </w:rPr>
        <w:t>е</w:t>
      </w:r>
      <w:r w:rsidRPr="008818AF">
        <w:rPr>
          <w:rFonts w:ascii="Times New Roman" w:hAnsi="Times New Roman" w:cs="Times New Roman"/>
          <w:sz w:val="24"/>
          <w:szCs w:val="24"/>
        </w:rPr>
        <w:t xml:space="preserve">дерации от 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7A7B9E" w:rsidRPr="008818AF" w:rsidRDefault="007A7B9E" w:rsidP="007A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4, 5.Показатели, обозначенные символом </w:t>
      </w:r>
      <w:r w:rsidRPr="008818AF">
        <w:rPr>
          <w:rFonts w:ascii="Times New Roman" w:hAnsi="Times New Roman" w:cs="Times New Roman"/>
          <w:sz w:val="24"/>
          <w:szCs w:val="24"/>
        </w:rPr>
        <w:sym w:font="Symbol" w:char="F02A"/>
      </w:r>
      <w:r w:rsidRPr="008818AF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7A7B9E" w:rsidRPr="008818AF" w:rsidRDefault="007A7B9E" w:rsidP="007A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рабо</w:t>
      </w:r>
      <w:r w:rsidRPr="008818AF">
        <w:rPr>
          <w:rFonts w:ascii="Times New Roman" w:hAnsi="Times New Roman" w:cs="Times New Roman"/>
          <w:sz w:val="24"/>
          <w:szCs w:val="24"/>
        </w:rPr>
        <w:t>т</w:t>
      </w:r>
      <w:r w:rsidRPr="008818AF">
        <w:rPr>
          <w:rFonts w:ascii="Times New Roman" w:hAnsi="Times New Roman" w:cs="Times New Roman"/>
          <w:sz w:val="24"/>
          <w:szCs w:val="24"/>
        </w:rPr>
        <w:t>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7A7B9E" w:rsidRPr="008818AF" w:rsidRDefault="007A7B9E" w:rsidP="007A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сертифицир</w:t>
      </w:r>
      <w:r w:rsidRPr="008818AF">
        <w:rPr>
          <w:rFonts w:ascii="Times New Roman" w:hAnsi="Times New Roman" w:cs="Times New Roman"/>
          <w:sz w:val="24"/>
          <w:szCs w:val="24"/>
        </w:rPr>
        <w:t>о</w:t>
      </w:r>
      <w:r w:rsidRPr="008818AF">
        <w:rPr>
          <w:rFonts w:ascii="Times New Roman" w:hAnsi="Times New Roman" w:cs="Times New Roman"/>
          <w:sz w:val="24"/>
          <w:szCs w:val="24"/>
        </w:rPr>
        <w:t>ванные достижения педагогического работника», в случае, если количество баллов является достаточным для установления соответствия заявленной категории, имеет право не представлять информацию по другим критериям.</w:t>
      </w:r>
    </w:p>
    <w:p w:rsidR="007A7B9E" w:rsidRDefault="007A7B9E" w:rsidP="007A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7A7B9E" w:rsidRPr="00BD4222" w:rsidRDefault="007A7B9E" w:rsidP="007A7B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22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7A7B9E" w:rsidRPr="00BD4222" w:rsidRDefault="007A7B9E" w:rsidP="007A7B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22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F30E5E" w:rsidRPr="00F30E5E" w:rsidRDefault="007A7B9E" w:rsidP="007A7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сумма баллов – 143.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0572"/>
        <w:gridCol w:w="1175"/>
        <w:gridCol w:w="2114"/>
      </w:tblGrid>
      <w:tr w:rsidR="00066CC0" w:rsidRPr="00C55DED" w:rsidTr="00F30E5E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6CC0" w:rsidRPr="00C55DED" w:rsidRDefault="00066CC0" w:rsidP="003A717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6CC0" w:rsidRPr="00C55DED" w:rsidRDefault="00066CC0" w:rsidP="003A717D">
            <w:pPr>
              <w:widowControl w:val="0"/>
              <w:spacing w:before="60" w:after="60" w:line="200" w:lineRule="exact"/>
              <w:ind w:firstLine="7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6CC0" w:rsidRPr="00C55DED" w:rsidRDefault="00066CC0" w:rsidP="00684DF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6CC0" w:rsidRPr="00C55DED" w:rsidRDefault="00066CC0" w:rsidP="00684DF3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Способ выведения оценки</w:t>
            </w:r>
          </w:p>
        </w:tc>
      </w:tr>
      <w:tr w:rsidR="00F1333E" w:rsidRPr="00C55DED" w:rsidTr="00F30E5E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333E" w:rsidRPr="00C55DED" w:rsidRDefault="00F1333E" w:rsidP="003A717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333E" w:rsidRPr="00C55DED" w:rsidRDefault="00F1333E" w:rsidP="003A717D">
            <w:pPr>
              <w:widowControl w:val="0"/>
              <w:spacing w:before="60" w:after="60" w:line="200" w:lineRule="exact"/>
              <w:ind w:firstLine="7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333E" w:rsidRPr="00C55DED" w:rsidRDefault="00F1333E" w:rsidP="00684DF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333E" w:rsidRPr="00C55DED" w:rsidRDefault="00F1333E" w:rsidP="00684DF3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F1333E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30E5E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E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Критерий 1 "Результаты освоения обучающимися, воспитанниками образовательных программ по итогам мониторингов, проводимых организацией"  </w:t>
            </w:r>
          </w:p>
          <w:p w:rsidR="00F1333E" w:rsidRPr="00F30E5E" w:rsidRDefault="00F1333E" w:rsidP="00F1333E">
            <w:pPr>
              <w:widowControl w:val="0"/>
              <w:spacing w:after="0" w:line="240" w:lineRule="exact"/>
              <w:ind w:right="-59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30E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42</w:t>
            </w: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30E5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"Динамика достижений обучающихся, воспитанников"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0E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C55DED" w:rsidRDefault="00066CC0" w:rsidP="00684DF3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воспитанников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%), имеющих положительные результаты в развитии, ко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рекции и решении личностных проблем, заданные образовательной программой (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"маршрутом" развития,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коррекционно-комплексным планом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на примере 2 – 3 классов (групп) за 3 последовательных года, приходящихся на межаттестационный период, по выбору аттестуемого п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работника)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 не раскрыт или менее 60%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воспитанников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менее 60 %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воспитанников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менее 75 %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воспитанников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не менее 90 % обучающихся, воспитанников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воспитанников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%), имеющих положительные результаты в разв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тии, коррекции и решении личностных проблем, заданные образовательной программой (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альным "маршрутом" развития,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коррекционно-комплексным планом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на примере 2 – 3 классов (групп) за 3 последовательных года, приходящихся на межаттестационный период, по выбору атт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стуемого педагогического работника):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отрицательная динамика доли обучающихся,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доли обучающихся, воспитанников (менее 60 %),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результаты,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доли обучающихся, воспитанников (не менее 60 %), име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доли обучающихся, воспитанников (не менее 60 %),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результаты,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стабильность доли обучающихся, воспитанников (не менее 75 %), име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доли обучающихся, воспитанников (не менее 75 %), имеющих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результаты,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стабильность доли обучающихся, воспитанников (не менее 90 %), име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личностных и социальных результатов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воспитанников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переходе на следующий этап обучения: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личностных и социальных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 New Roman" w:hAnsi="Times New Roman" w:cs="Times New Roman"/>
                <w:sz w:val="24"/>
                <w:szCs w:val="24"/>
              </w:rPr>
              <w:t>-  положительная динамика личностных и социальных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0F7B7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0F7B7E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Показатель "Результаты деятельности педагогического работника в области социализации обучающихся, воспитанников"</w:t>
            </w:r>
          </w:p>
          <w:p w:rsidR="00066CC0" w:rsidRPr="00F1333E" w:rsidRDefault="00066CC0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F7B7E">
              <w:rPr>
                <w:rFonts w:ascii="Times New Roman" w:eastAsia="TimesNewRoman" w:hAnsi="Times New Roman"/>
                <w:i/>
                <w:sz w:val="24"/>
                <w:szCs w:val="24"/>
              </w:rPr>
              <w:t>Максимальное количество баллов –</w:t>
            </w:r>
            <w:r w:rsidR="000F7B7E"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 </w:t>
            </w:r>
            <w:r w:rsidRPr="000F7B7E">
              <w:rPr>
                <w:rFonts w:ascii="Times New Roman" w:eastAsia="TimesNew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i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Создает условия для социализации обучающихся, воспитанников, оказывает помощь в освоении социальных навыков и компетенций: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 учебные занятия, мероприятия социализирующего/ воспитательного характера в системе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проводит учебные занятия, мероприятия социализирующего/ воспитательного характера в сист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ме, используя разнообразные, в том числе инновационные, формы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Осуществляет меры по профориентации и трудоустройству обучающихся, воспитанников: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 мероприятия в системе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 мероприятия по профориентации и трудоустройству в системе, при этом обучающиеся, воспитанники имеют личный профессиональный план и осуществляют допрофессиональные пробы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Динамика доли обучающихся, воспитанников (в %) со средним и высоким уровнем социальной адаптации (по результатам диагностики):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показатель не раскрыт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динамика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доли обучающихся, воспитанников со сре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д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ним и высоким уровнем социальной адаптации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положительная динамика доли обучающихся, воспитанников (менее 50 %) со средним и высоким уровнем социальной адаптации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доли обучающихся, воспитанников (не менее 50 %) со средним и высоким уровнем социальной адаптации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16ACB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16ACB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положительная динамика доли обучающихся, воспитанников (не менее 50 %) со средним и выс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ким уровнем социальной адаптации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доли обучающихся, воспитанников (не менее 60 %) со средним и высоким уровнем социальной адаптации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16ACB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16ACB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положительная динамика доли обучающихся, воспитанников (не менее 60 %) со средним и выс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ким уровнем социальной адаптации или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доли обучающихся, воспитанников (не менее 70 %) со средним и высоким уровнем социальной адаптации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16ACB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16ACB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Обучающиеся, воспитанники регулярно участвуют в социально-значимых делах, социально-образовательных проектах: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364CF">
              <w:rPr>
                <w:rFonts w:ascii="Times New Roman" w:hAnsi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доля обучающихся, 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воспитанников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 (в %), с которыми работает педагогический работник, вовл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ченных в социально-значимые дела, социально-образовательные проекты, не менее 15 %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</w:rPr>
            </w:pPr>
            <w:r w:rsidRPr="00E364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доля обучающихся, 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воспитанников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 (в %), с которыми работает педагогический работник, вовл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ченных в социально-значимые дела, социально-образовательные проекты, не менее 25 %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364CF"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364CF"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уровне образовательной организации или на муниципальном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уровне образовательной организации или на муниципальном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0F7B7E" w:rsidRDefault="00066CC0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0F7B7E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Показатель "Результаты деятельности педагогического работника в формировании и разв</w:t>
            </w:r>
            <w:r w:rsidRPr="000F7B7E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и</w:t>
            </w:r>
            <w:r w:rsidRPr="000F7B7E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тии коммуникативных навыков обучающихся,  воспитанников"</w:t>
            </w:r>
          </w:p>
          <w:p w:rsidR="00066CC0" w:rsidRPr="00F1333E" w:rsidRDefault="00066CC0" w:rsidP="00F1333E">
            <w:pPr>
              <w:widowControl w:val="0"/>
              <w:tabs>
                <w:tab w:val="left" w:pos="0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7B7E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Максимальное количество баллов </w:t>
            </w:r>
            <w:r w:rsidR="000F7B7E" w:rsidRPr="000F7B7E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–</w:t>
            </w:r>
            <w:r w:rsidRPr="000F7B7E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Создает условия для коммуникации обучающихся, воспитанников в социальной среде: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 расширяет круг общения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использует естественные и моделирует специальные ситуации общения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формирует  социальные нормы речевого поведения, организует мероприятия, несущие коммун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кативную нагрузку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Обучающиеся, воспитанники устанавливают контакты со сверстниками и вступают в коммуник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цию (по результатам наблюдений):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 или испытывают затруднения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в пределах своей группы (класса)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за пределами своей группы (класса)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Обучающиеся, воспитанники выбирают стратегию уверенного поведения в различных ситуациях межличностного взаимодействия на основе сформированности коммуникативных навыков (по р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зультатам диагностики):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 или преобладает выбор стратегии неуверенного и агрессивного поведения (более 50 % обучающихся,  воспитанников)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преобладает выбор стратегии уверенного поведения над двумя другими стилями поведения (не менее 50 % обучающихся,  воспитанников)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положительная динамика числа уверенных реакций (компетентное поведение) при сокращении числа агрессивных и неуверенных реакций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Содействует росту познавательной мотивации обучающихся, воспитанников: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Выбор одного из баллов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у обучающихся, воспитанников расширяется сфера интересов и деятельности (новые хобби, увл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чения, любимые занятия)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0F7B7E" w:rsidRDefault="00066CC0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0F7B7E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Показатель "Результаты деятельности педагогического работника по защите прав и интер</w:t>
            </w:r>
            <w:r w:rsidRPr="000F7B7E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е</w:t>
            </w:r>
            <w:r w:rsidRPr="000F7B7E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сов обучающихся, воспитанников"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F7B7E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Максимальное количество баллов </w:t>
            </w:r>
            <w:r w:rsidR="000F7B7E" w:rsidRPr="000F7B7E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–</w:t>
            </w:r>
            <w:r w:rsidRPr="000F7B7E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i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Осуществляет просвещение обучающихся,  воспитанников, родителей (законных представителей), педагогов по правовым вопросам и проблемам социального воспитания: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 занятия, мероприятия правового характера в системе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Ведет работу по обеспечению прав </w:t>
            </w:r>
            <w:r w:rsid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 защите интересов обучающихся,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воспитанников: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своевременно устанавливает и подтверждает правовой статус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обеспечивает условия для практического осуществления прав обучающихся, воспитанников в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продуктивно взаимодействует с различными социальными институтами по восстановлению и з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щите прав обучающихся, 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представляет интересы обучающихся,  воспитанников в различных социальных институтах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выявляет и корректирует нарушения в детско-родительских отношениях, содействует разрешению конфликтных ситуаций со взрослыми и сверстниками,  предупреждает случаи жестокого обращения с ребёнком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F1333E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0F7B7E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7B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 2 "</w:t>
            </w:r>
            <w:r w:rsidRPr="000F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</w:t>
            </w:r>
            <w:r w:rsidRPr="000F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0F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дагогических работников связана с направлениями педагогической работы, по которым такие мероприятия проводятся</w:t>
            </w:r>
            <w:r w:rsidRPr="000F7B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)"</w:t>
            </w:r>
          </w:p>
          <w:p w:rsidR="00F1333E" w:rsidRPr="00E364CF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</w:rPr>
            </w:pPr>
            <w:r w:rsidRPr="000F7B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0F7B7E" w:rsidRDefault="00066CC0" w:rsidP="00F1333E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F7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0F7B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"Выявление и развитие способностей обучающихся, воспитанников к научной (интеллектуальной), творческой, физкультурно-спортивной деятельности"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7B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Организует  работу с обучающимися, воспитанниками, имеющими способности к научной (инте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л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лектуальной), творческой, физкультурно-спортивной деятельности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E364CF">
              <w:rPr>
                <w:rFonts w:ascii="Times New Roman" w:hAnsi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выявляет таких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содействует их вовлечению в кружки, секции, творческие объединения, в том числе учреждений дополнительного образования детей, в соответствии со способностями, интересами и потребност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0F7B7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"Результаты участия обучающихся, воспитанников в конкурсных мероприятиях"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7B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Наличие участников, призёров, победителей конкурсов, фестивалей, соревнований, выставок, смо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т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ров, сетевых проектов,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участие в которых осуществлялось под руководством педагогического р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призёры уровня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(не менее 5-и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победители уровня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(не менее 5-и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участники муниципального уровня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(не менее 3-х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призёры муниципального уровня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(не менее 3-х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победители муниципального уровня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(не менее 3-х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участники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призёры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победители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33E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A87200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</w:t>
            </w: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ских коллективах опыта практических результатов своей профессиональной деятельности, в том числе экспериментальной и 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инновационной"</w:t>
            </w:r>
          </w:p>
          <w:p w:rsidR="00F1333E" w:rsidRPr="00E364CF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70</w:t>
            </w: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"Продуктивное использование новых образовательных технологий, включая и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формационные, а также цифровых образовательных ресурсов и средств"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</w:t>
            </w:r>
            <w:r w:rsid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обосновывает целесообразность проводимых усовершенствований с учетом целей и задач обуч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ния и воспитания, используемой программы, условий образовательной деятельности, запросов об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у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чающихся и родителей,  раскрывает их суть и результаты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Продуктивно использует новые образовательные технологии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(социально-педагогические, корре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ционно-развивающие и другие):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B15242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 </w:t>
            </w:r>
            <w:r w:rsidR="00E10795"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показатель не раскрыт или представлено описание новых образовательных (социально-педагогических, коррекционно-развивающих и других)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обоснованно с учетом целей и задач обучения и воспитания, используемой программы выбирает новые образовательные (социально-педагогические, коррекционно-развивающие и другие) технол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гии, направленные на решение актуальных проблем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B15242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 </w:t>
            </w:r>
            <w:r w:rsidR="00E10795"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владеет новыми образовательными (социально-педагогическими, коррекционно-развивающими и другими) технологиями на уровне отдельных элементов, комбинации отдельных элементов разных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B15242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 </w:t>
            </w:r>
            <w:r w:rsidR="00E10795"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владеет новыми образовательными (социально-педагогическими, коррекционно-развивающими и другими) технологиями на уровне целостной системы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формирует диагностический инструментарий для оценки продуктивности использования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новых образовательных (социально-педагогических, коррекционно-развивающих и других)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B15242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 </w:t>
            </w:r>
            <w:r w:rsidR="00E10795"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отслеживает продуктивность использования новых образовательных </w:t>
            </w:r>
            <w:r w:rsidR="00E10795"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(социально-педагогических, коррекционно-развивающих и других) </w:t>
            </w:r>
            <w:r w:rsidR="00E10795"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технологий с применением диагностического инструмент</w:t>
            </w:r>
            <w:r w:rsidR="00E10795"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10795"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владеет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владеет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Создает здоровьесберегающую среду: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- создает благоприятную микросреду и морально-психологический климат для обучающихся, во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питанников, осуществляет их педагогическую поддержку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осуществляет первичную профилактику поведенческих рисков, опасных для здоровья (курение, алкоголь, наркотики)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у обучающихся, воспитанников мотивацию к здоровому образу жизни, культуру зд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ровья,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"Система индивидуальной работы с обучающимися, воспитанниками"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Проводит работу, направленную на решение индивидуальных проблем обучающихся, воспитанн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С</w:t>
            </w:r>
            <w:r w:rsidRPr="00E364CF">
              <w:rPr>
                <w:rFonts w:ascii="Times New Roman" w:eastAsiaTheme="minorEastAsia" w:hAnsi="Times New Roman"/>
                <w:bCs/>
                <w:iCs/>
              </w:rPr>
              <w:t>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составляет план (циклограмму) индивидуальной работы с обучающимися, воспитанниками, ведет журнал учёта такой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формирует пакет диагностических методик, проводит диагностические исследования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 xml:space="preserve">- модифицирует пакет диагностических методик, проводит диагностические исследования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формирует пакет коррекционно-развивающих методик для решения  индивидуальных проблем с учетом возможностей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разрабатывает и реализует карты индивидуального сопровождения (индивидуальные планы разв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тия, индивидуальные планы коррекционно-развивающей работы)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Включает обучающихся, воспитанников с ограниченными возможностями здоровья, а также п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павших в трудную жизненную ситуацию, в социальную среду: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 xml:space="preserve">- проводит консультирование, беседы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проводит диагностические исследования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реализует коррекционные мероприятия, направленные на отработку необходимого поведения, с использованием разных форм: тренингов, методов игровой, арттерапии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E364CF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A87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"Участие в экспериментальной, инновационной деятельности"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лектива: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tabs>
                <w:tab w:val="left" w:pos="-108"/>
              </w:tabs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реализации собственного проекта, прошедшего конкурс на присвоение  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прошедшего конкурс на присвоение  статуса "научно-исследовательская лаборатория", "апробационная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"Транслирование опыта практических результатов профессиональной деятел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ь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ности, в том числе экспериментальной и инновационной"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результатов профессиональной деятельности  (регулярно проводит мастер-классы, тренинги, стендовые защиты, выступает с д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гического образования, переподготовки и повышения квалификации: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F1333E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руководителем педагогической практики студентов образовательных организаций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F1333E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пер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подготовку и повышение квалификации кадров по профилю деятельности аттестуемого педагога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по проблемам образования и воспитания обучающихся,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1079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F1333E" w:rsidRDefault="00E1079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E364CF">
              <w:rPr>
                <w:rFonts w:ascii="Times New Roman" w:eastAsia="TimesNewRoman" w:hAnsi="Times New Roman" w:cs="Times New Roman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10795" w:rsidRPr="00E364CF" w:rsidRDefault="00E1079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"</w:t>
            </w:r>
            <w:r w:rsidRPr="00A87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Непрерывность образования педагогического работника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 дополнительным профессиональным образовательным программам по профилю преподаваем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го предмета (направлению деятельности), включающим  общетеоретический и предметно-технологический блоки, в объеме не менее 108 часов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стажировки, семинары, вебинары в объеме не менее 48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"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Признание профессиональным сообществом высокой квалификации педагогич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работника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"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"Награды и поощрения педагогического работника за личный вклад в повышение качества образования, успехи в профессиональной деятельности"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9</w:t>
            </w: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Имеет в межаттестационный период грамоты, поощрения, благодарственные письма по профилю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33E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A87200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F1333E" w:rsidRPr="00A87200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872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Максимальное количество баллов – 41</w:t>
            </w: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"</w:t>
            </w:r>
            <w:r w:rsidRPr="00A87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 работа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"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0056E4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"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 разработке программно-методического сопровождения образовател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ь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ного процесса"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Разрабатывает и обосновывает программу социально-педагогического сопровождения обучающи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ся, воспитанников: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представлена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социально-педагогического сопровождения обучающихся, воспитанн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ков, но без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соответствии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 условиями применения, целями данной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с запросами родителей,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обучающихся, воспитанников с особыми образовательн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потребностями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методические, дидактические материалы), прошедшие внешнюю экспертизу: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"Участие в профессиональных конкурсах"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Участвует в заочных/дистанционных конкурсах (по использованию ИКТ; инновационных, метод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ческих  разработок; публикаций; педагогических инициатив) для педагогических работников: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E1079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8B6D9C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победитель ПНПО", "Учитель родного языка", "Мастер года", "Преподаватель года", "Воспитатель года", "П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дагог-психолог года", "Сердце отдаю детям", "Самый классный классный":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8B6D9C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 xml:space="preserve">Поглощение  (при участии в одном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lastRenderedPageBreak/>
              <w:t>конкурсе)</w:t>
            </w:r>
          </w:p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64CF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  (при участии в разных конкурсах)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8B6D9C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не участвует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8B6D9C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8B6D9C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8B6D9C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8B6D9C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8B6D9C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8B6D9C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8B6D9C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8B6D9C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8B6D9C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8B6D9C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8B6D9C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8B6D9C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8B6D9C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8B6D9C">
            <w:pPr>
              <w:widowControl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8B6D9C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33E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A87200" w:rsidRDefault="00F1333E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Критерий 5 "Личностные и профессиональные качества педагогического работника" </w:t>
            </w:r>
          </w:p>
          <w:p w:rsidR="00F1333E" w:rsidRPr="00A87200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 w:rsidR="00A87200"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10</w:t>
            </w: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"</w:t>
            </w:r>
            <w:r w:rsidRPr="00A87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культура педагогического работника"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результатам ди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гностики)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Уровень эмпатии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 w:rsidRPr="00F13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 xml:space="preserve"> организацией и содержанием образовательного процесса, организуемого аттестуемым педагогическим работником: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70 %</w:t>
            </w:r>
            <w:r w:rsidRPr="00F13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не менее 70 %</w:t>
            </w:r>
            <w:r w:rsidRPr="00F13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не менее 90 %</w:t>
            </w:r>
            <w:r w:rsidRPr="00F133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Показатель "Социальная активность педагогического работника, участие в решении общ</w:t>
            </w:r>
            <w:r w:rsidRPr="00A87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A87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ственных проблем"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ный активист, председатель/член совета микрорайона, депутат совета, член избирательной коми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сии, общественной палаты) (</w:t>
            </w:r>
            <w:r w:rsidRPr="00F1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соответствующими направлени</w:t>
            </w:r>
            <w:r w:rsidRPr="00F1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13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работы):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333E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A87200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 6 "Профессиональная компетентность педагогического работника в области информационной основы деятельн</w:t>
            </w: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сти, постановке и достижении педагогических задач при реализации образовательной программы на уроке (учебном зан</w:t>
            </w: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тии, воспитательном, методическом и других мероприятиях)"</w:t>
            </w:r>
          </w:p>
          <w:p w:rsidR="00F1333E" w:rsidRPr="00A87200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872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(направл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ния деятельности)"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Результаты квалификационного экзамена (удостоверение представляется педагогическим работн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ком, прошедшим квалификационный экзамен с 1 сентября 2013 г. по 30 мая 2014 г.):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</w:rPr>
              <w:t>Поглощение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"Постановка педагогических задач при реализации программы социально-педагогического сопровождения обучающихся, воспитанников на индивидуальном или групп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вом учебном занятии (мероприятии социализирующего/воспитательного характера) (на пр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мере конспекта индивидуального или группового учебного занятия (мероприятия социализир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ющего/воспитательного характера))"</w:t>
            </w:r>
          </w:p>
          <w:p w:rsidR="00066CC0" w:rsidRPr="00A87200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к занятию: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ставит цели, направленные на решение проблем обучения, развития, социализации и личностный рост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16ACB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0 / 0,5 / </w:t>
            </w:r>
            <w:r w:rsidRPr="00E16ACB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ставит цели, достижимые в течение учебного занятия (мероприятия социализирующ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го/воспитательного характера)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16ACB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16ACB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16ACB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16ACB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16ACB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16ACB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планирует постановку обучающимися собственной цели деятельности на учебном занятии (мер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приятии социализирующего/воспитательного характера)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 xml:space="preserve">- представляет задачи как систему действий педагога  по достижению цели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- планирует использование методических приемов, заданий, направленных на мотивирование об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у</w:t>
            </w:r>
            <w:r w:rsidRPr="00F1333E">
              <w:rPr>
                <w:rFonts w:ascii="Times New Roman" w:eastAsia="TimesNewRoman" w:hAnsi="Times New Roman"/>
                <w:sz w:val="24"/>
                <w:szCs w:val="24"/>
              </w:rPr>
              <w:t>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200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Показатель "</w:t>
            </w:r>
            <w:r w:rsidRPr="00A872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Компетентность педагогического работника 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реализации программы соц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ально-педагогического сопровождения обучающихся, воспитанников на индивидуальном или групповом учебном занятии (мероприятии социализирующего/воспитательного характера) (на примере конспекта индивидуального или группового учебного занятия (мероприятия социал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зирующего/воспитательного характера))"</w:t>
            </w:r>
          </w:p>
          <w:p w:rsidR="00066CC0" w:rsidRPr="00A87200" w:rsidRDefault="00066CC0" w:rsidP="00F1333E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A87200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Максимальное количество баллов – 25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0 баллов – показатель не раскрыт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 (мероприятия соц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ализирующего/ воспитательного характера)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вывести обучающихся, воспитанников на значимую и привлекательную для них цель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поставленные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обсуждает с обучающимися, воспитанниками план действий по реализации цели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учебного занятия (мероприятия социализирующего/ воспитательного характера)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реализацию цели в этапах занятия как систему действий педагога и обучающихся, воспитанников по ее достижению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обсуждает с обучающимися, воспитанниками критерии, позволяющие им самостоятельно оценить качество полученных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предлагает задания, ориентирующие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обучающихся, воспитанников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актуализацию  имеющихся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предлагает задания, способствующие пониманию ограниченности имеющихся у обучающихся, воспитанников знаний и умений для решения поставленной задачи или учебной проблемы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различные задания так, чтобы обучающиеся, воспитанники почувствовали свой успех (значимость для себя своей деятельности)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знание приемов и методов, направленных на формирование интереса обучающи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ся, воспитанников к познанию и теме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учебного занятия (мероприятия социализирующего/ воспит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тельного характера)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lastRenderedPageBreak/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поддерживает интерес у обучающихся, воспитанников к познанию, в решении личных и социал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проблем посредством организации самооценивания степени достижения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собственной цели д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ятельности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занятии (мероприятии социализирующего/ воспитательного характера)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Компетентность педагога в  вопросах специальной (коррекционной), социальной педагогики (ур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вень владения  материалом):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демонстрирует знание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содержания темы учебного занятия (мероприятия социализирующ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го/воспитательного характера),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 специальности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eastAsiaTheme="minorHAnsi" w:hAnsi="Times New Roman" w:cs="Times New Roman"/>
                <w:sz w:val="24"/>
                <w:szCs w:val="24"/>
              </w:rPr>
              <w:t>содержание дифференцировано, индивидуализировано в соответствии с психофизическими  ос</w:t>
            </w:r>
            <w:r w:rsidRPr="00F1333E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бенностями, социальными установками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показывает связь содержания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занятия с учебным материалом, изучаемым по другим предметным областям,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с вопросами из смежных областей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сочетать предметные и метапредметные знания и способы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образовательные, человеческие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6.3.4.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методах ведения учебного занятия (мероприятия социализирующ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го/воспитательного характера) (уровень методической грамотности):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используемые методы обучения соответствуют поставленным целям и задачам, содержанию из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чаемого материала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включить в активную продуктивную (частично-поисковую, проблемную, творческую) и с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циально-значимую (социальные пробы, социальные практики, социальные проекты) деятельность всех обучающихся, воспитанников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групповой форм деятельности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владеет новыми образовательными (социально-педагогическими, 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коммуникационными и другими)</w:t>
            </w: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lastRenderedPageBreak/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организует рефлексию обучающихся, воспитанников относительно поставленной ими собственной цели деятельности на учебном занятии (мероприятии социализирующего/ воспитательного характ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ра)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честв: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демонстрирует демократический стиль в общении с обучающимися, воспитанниками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реализует право обучающегося, воспитанника на ошибку и ее исправление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проявляет искренний интерес к позиции каждого обучающегося, воспитанника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eastAsia="TimesNewRoman" w:hAnsi="Times New Roman" w:cs="Times New Roman"/>
                <w:sz w:val="24"/>
                <w:szCs w:val="24"/>
              </w:rPr>
              <w:t>- обеспечивает направленность  деятельности каждого обучающегося, воспитанника на развитие личностных качеств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33E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F1333E" w:rsidRDefault="00F1333E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33E" w:rsidRPr="00A87200" w:rsidRDefault="00F1333E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7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F1333E" w:rsidRPr="00A87200" w:rsidRDefault="00F1333E" w:rsidP="00F1333E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spacing w:before="60"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"Поощрения за активное участие в развитии и совершенствовании системы обр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87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зования Российской Федерации и/или Хабаровского края" </w:t>
            </w:r>
          </w:p>
          <w:p w:rsidR="00066CC0" w:rsidRPr="00F1333E" w:rsidRDefault="00066CC0" w:rsidP="00F1333E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ведомственными (отраслевыми) наградами Министе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</w:rPr>
              <w:t>Поглощение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государственными наградами Правительства Росси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 по профилю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lastRenderedPageBreak/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наградами Правительства Хабаровского края (памятный знак Правительства Хабаровского края "Заслуженный работник образования Хабаровского края", "Заслуженный работник здравоохранения  Хабаровского края",  почетный знак Правительства Х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баровского края "За заслуги" им. Н.Н. Муравьёва-Амурского")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E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33E">
              <w:rPr>
                <w:rFonts w:ascii="Times New Roman" w:hAnsi="Times New Roman"/>
                <w:sz w:val="24"/>
                <w:szCs w:val="24"/>
              </w:rPr>
              <w:t>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E364C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A87200" w:rsidRDefault="00066CC0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20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066CC0" w:rsidRPr="00F1333E" w:rsidRDefault="00066CC0" w:rsidP="00F1333E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tabs>
                <w:tab w:val="left" w:pos="0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Является победителем краевого или заключительного этапа Всероссийских конкурсов професси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нального мастерства: "Учитель года", "Учитель года – победитель ПНПО", "Учитель родного яз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ка", "Мастер года", "Преподаватель года", "Воспитатель года", "Сердце отдаю детям"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</w:rPr>
              <w:t>Поглощение</w:t>
            </w: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Является победителем краевого или заключительного этапа Всероссийских конкурсов професси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нального мастерства: "Учитель года", "Учитель года – победитель ПНПО", "Учитель родного яз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ка", "Мастер года", "Преподаватель года", "Воспитатель года", "Сердце отдаю детям"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65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F1333E" w:rsidRDefault="00BA3965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Является победителем краевого этапа конкурса "Самый классный классный"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3965" w:rsidRPr="00E364CF" w:rsidRDefault="00BA3965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8B6D9C" w:rsidRDefault="00066CC0" w:rsidP="00F1333E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6D9C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D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66CC0" w:rsidRPr="00C55DED" w:rsidTr="00F30E5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F1333E" w:rsidRDefault="00066CC0" w:rsidP="00F1333E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3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4CF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66CC0" w:rsidRPr="00E364CF" w:rsidRDefault="00066CC0" w:rsidP="00684DF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A717D" w:rsidRDefault="003A717D" w:rsidP="00A53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6FC" w:rsidRDefault="004506FC" w:rsidP="004506FC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4506FC" w:rsidRPr="000E5477" w:rsidRDefault="004506FC" w:rsidP="004506FC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8F1B4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>О.Л. Просекова</w:t>
      </w:r>
    </w:p>
    <w:p w:rsidR="004506FC" w:rsidRPr="009D4918" w:rsidRDefault="004506FC" w:rsidP="004506FC">
      <w:pPr>
        <w:spacing w:before="60" w:after="60" w:line="200" w:lineRule="exact"/>
        <w:jc w:val="center"/>
        <w:rPr>
          <w:rFonts w:ascii="Times New Roman" w:hAnsi="Times New Roman"/>
          <w:i/>
        </w:rPr>
      </w:pPr>
    </w:p>
    <w:p w:rsidR="004506FC" w:rsidRPr="00E364CF" w:rsidRDefault="004506FC" w:rsidP="00904DD8"/>
    <w:sectPr w:rsidR="004506FC" w:rsidRPr="00E364CF" w:rsidSect="00F30E5E">
      <w:headerReference w:type="default" r:id="rId9"/>
      <w:pgSz w:w="16838" w:h="11906" w:orient="landscape"/>
      <w:pgMar w:top="425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65" w:rsidRDefault="00222965" w:rsidP="004506FC">
      <w:pPr>
        <w:spacing w:after="0" w:line="240" w:lineRule="auto"/>
      </w:pPr>
      <w:r>
        <w:separator/>
      </w:r>
    </w:p>
  </w:endnote>
  <w:endnote w:type="continuationSeparator" w:id="0">
    <w:p w:rsidR="00222965" w:rsidRDefault="00222965" w:rsidP="004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65" w:rsidRDefault="00222965" w:rsidP="004506FC">
      <w:pPr>
        <w:spacing w:after="0" w:line="240" w:lineRule="auto"/>
      </w:pPr>
      <w:r>
        <w:separator/>
      </w:r>
    </w:p>
  </w:footnote>
  <w:footnote w:type="continuationSeparator" w:id="0">
    <w:p w:rsidR="00222965" w:rsidRDefault="00222965" w:rsidP="0045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9257"/>
      <w:docPartObj>
        <w:docPartGallery w:val="Page Numbers (Top of Page)"/>
        <w:docPartUnique/>
      </w:docPartObj>
    </w:sdtPr>
    <w:sdtEndPr/>
    <w:sdtContent>
      <w:p w:rsidR="00A87200" w:rsidRDefault="00A87200">
        <w:pPr>
          <w:pStyle w:val="a9"/>
          <w:jc w:val="center"/>
        </w:pPr>
        <w:r w:rsidRPr="00450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0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B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0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7200" w:rsidRDefault="00A872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0720E"/>
    <w:multiLevelType w:val="hybridMultilevel"/>
    <w:tmpl w:val="A8288EBC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056E4"/>
    <w:rsid w:val="0001071F"/>
    <w:rsid w:val="00011DB4"/>
    <w:rsid w:val="00021AF2"/>
    <w:rsid w:val="00027626"/>
    <w:rsid w:val="00032D69"/>
    <w:rsid w:val="00036ECA"/>
    <w:rsid w:val="000379D9"/>
    <w:rsid w:val="00037B5B"/>
    <w:rsid w:val="000416D3"/>
    <w:rsid w:val="000425C2"/>
    <w:rsid w:val="00042CCC"/>
    <w:rsid w:val="0004300E"/>
    <w:rsid w:val="00043653"/>
    <w:rsid w:val="00046673"/>
    <w:rsid w:val="0005206D"/>
    <w:rsid w:val="000523FE"/>
    <w:rsid w:val="00053F83"/>
    <w:rsid w:val="0005594C"/>
    <w:rsid w:val="0005604E"/>
    <w:rsid w:val="00057C60"/>
    <w:rsid w:val="00065B43"/>
    <w:rsid w:val="00066CC0"/>
    <w:rsid w:val="000802EB"/>
    <w:rsid w:val="000806E0"/>
    <w:rsid w:val="00081983"/>
    <w:rsid w:val="00094488"/>
    <w:rsid w:val="00094F9A"/>
    <w:rsid w:val="00096857"/>
    <w:rsid w:val="00097DDF"/>
    <w:rsid w:val="000A4A5A"/>
    <w:rsid w:val="000B3493"/>
    <w:rsid w:val="000B7F72"/>
    <w:rsid w:val="000D0412"/>
    <w:rsid w:val="000D0910"/>
    <w:rsid w:val="000D386F"/>
    <w:rsid w:val="000E0430"/>
    <w:rsid w:val="000E1F04"/>
    <w:rsid w:val="000E6183"/>
    <w:rsid w:val="000E6EA7"/>
    <w:rsid w:val="000F065B"/>
    <w:rsid w:val="000F3305"/>
    <w:rsid w:val="000F7B7E"/>
    <w:rsid w:val="0010236F"/>
    <w:rsid w:val="001065AF"/>
    <w:rsid w:val="00111FCB"/>
    <w:rsid w:val="001149C3"/>
    <w:rsid w:val="00121A44"/>
    <w:rsid w:val="0012753D"/>
    <w:rsid w:val="0013285D"/>
    <w:rsid w:val="0014220B"/>
    <w:rsid w:val="001438C3"/>
    <w:rsid w:val="00143CD5"/>
    <w:rsid w:val="00144AA5"/>
    <w:rsid w:val="00144CFC"/>
    <w:rsid w:val="00145E54"/>
    <w:rsid w:val="00153B5A"/>
    <w:rsid w:val="001564AC"/>
    <w:rsid w:val="00164CBA"/>
    <w:rsid w:val="00164DB0"/>
    <w:rsid w:val="00166E5E"/>
    <w:rsid w:val="00166FFF"/>
    <w:rsid w:val="00174035"/>
    <w:rsid w:val="00176C44"/>
    <w:rsid w:val="00185F68"/>
    <w:rsid w:val="001878DA"/>
    <w:rsid w:val="001958B6"/>
    <w:rsid w:val="001A0D08"/>
    <w:rsid w:val="001A10E6"/>
    <w:rsid w:val="001A1448"/>
    <w:rsid w:val="001A5695"/>
    <w:rsid w:val="001A7103"/>
    <w:rsid w:val="001A787E"/>
    <w:rsid w:val="001B4346"/>
    <w:rsid w:val="001B4CA2"/>
    <w:rsid w:val="001C555A"/>
    <w:rsid w:val="001C6985"/>
    <w:rsid w:val="001D0293"/>
    <w:rsid w:val="001D5202"/>
    <w:rsid w:val="001D5D5A"/>
    <w:rsid w:val="001D6B4C"/>
    <w:rsid w:val="001E1DFE"/>
    <w:rsid w:val="001E1F91"/>
    <w:rsid w:val="001E41DA"/>
    <w:rsid w:val="001E4C5D"/>
    <w:rsid w:val="001F2F19"/>
    <w:rsid w:val="001F5F2F"/>
    <w:rsid w:val="001F6301"/>
    <w:rsid w:val="001F75D7"/>
    <w:rsid w:val="002036E2"/>
    <w:rsid w:val="00203A05"/>
    <w:rsid w:val="002079A8"/>
    <w:rsid w:val="0021148E"/>
    <w:rsid w:val="00211E6B"/>
    <w:rsid w:val="002128F9"/>
    <w:rsid w:val="00217C9C"/>
    <w:rsid w:val="00222965"/>
    <w:rsid w:val="00224460"/>
    <w:rsid w:val="002330E9"/>
    <w:rsid w:val="002340E6"/>
    <w:rsid w:val="002342DC"/>
    <w:rsid w:val="0024006D"/>
    <w:rsid w:val="00241761"/>
    <w:rsid w:val="00246D05"/>
    <w:rsid w:val="00247BD9"/>
    <w:rsid w:val="002620A2"/>
    <w:rsid w:val="00265C4D"/>
    <w:rsid w:val="00265FEC"/>
    <w:rsid w:val="0027016D"/>
    <w:rsid w:val="002737C2"/>
    <w:rsid w:val="00280056"/>
    <w:rsid w:val="0028057C"/>
    <w:rsid w:val="00280E85"/>
    <w:rsid w:val="0028687C"/>
    <w:rsid w:val="0029041A"/>
    <w:rsid w:val="00292A35"/>
    <w:rsid w:val="00294E5E"/>
    <w:rsid w:val="002A1993"/>
    <w:rsid w:val="002A2E2E"/>
    <w:rsid w:val="002B021E"/>
    <w:rsid w:val="002B5F23"/>
    <w:rsid w:val="002C59B2"/>
    <w:rsid w:val="002C6178"/>
    <w:rsid w:val="002D0D9F"/>
    <w:rsid w:val="002E24BB"/>
    <w:rsid w:val="002E62A1"/>
    <w:rsid w:val="002E77AD"/>
    <w:rsid w:val="002F2384"/>
    <w:rsid w:val="002F6D19"/>
    <w:rsid w:val="003006A7"/>
    <w:rsid w:val="00301791"/>
    <w:rsid w:val="00301F55"/>
    <w:rsid w:val="00304A0A"/>
    <w:rsid w:val="003123AA"/>
    <w:rsid w:val="00312BB8"/>
    <w:rsid w:val="00313E36"/>
    <w:rsid w:val="003140E0"/>
    <w:rsid w:val="00315DA7"/>
    <w:rsid w:val="0031791D"/>
    <w:rsid w:val="00321B6E"/>
    <w:rsid w:val="0032286D"/>
    <w:rsid w:val="0033032E"/>
    <w:rsid w:val="003316C6"/>
    <w:rsid w:val="0033533A"/>
    <w:rsid w:val="00337964"/>
    <w:rsid w:val="00341AF2"/>
    <w:rsid w:val="00360872"/>
    <w:rsid w:val="00360A45"/>
    <w:rsid w:val="00363821"/>
    <w:rsid w:val="00366A7A"/>
    <w:rsid w:val="0037795E"/>
    <w:rsid w:val="00380313"/>
    <w:rsid w:val="00391C62"/>
    <w:rsid w:val="003A13C1"/>
    <w:rsid w:val="003A5CEB"/>
    <w:rsid w:val="003A717D"/>
    <w:rsid w:val="003B18D3"/>
    <w:rsid w:val="003B26C1"/>
    <w:rsid w:val="003B6764"/>
    <w:rsid w:val="003C2121"/>
    <w:rsid w:val="003C2F74"/>
    <w:rsid w:val="003C3EB3"/>
    <w:rsid w:val="003D4C54"/>
    <w:rsid w:val="003E3792"/>
    <w:rsid w:val="003E60A8"/>
    <w:rsid w:val="003E77C6"/>
    <w:rsid w:val="003E7FE7"/>
    <w:rsid w:val="00400037"/>
    <w:rsid w:val="00401D81"/>
    <w:rsid w:val="00403458"/>
    <w:rsid w:val="00403556"/>
    <w:rsid w:val="00407900"/>
    <w:rsid w:val="00415B12"/>
    <w:rsid w:val="004325F9"/>
    <w:rsid w:val="00435591"/>
    <w:rsid w:val="004506FC"/>
    <w:rsid w:val="00450B7B"/>
    <w:rsid w:val="00457FA4"/>
    <w:rsid w:val="00464544"/>
    <w:rsid w:val="004656FA"/>
    <w:rsid w:val="00467044"/>
    <w:rsid w:val="00474015"/>
    <w:rsid w:val="0048090B"/>
    <w:rsid w:val="00480C90"/>
    <w:rsid w:val="0048117A"/>
    <w:rsid w:val="00484A05"/>
    <w:rsid w:val="00495A35"/>
    <w:rsid w:val="004973D9"/>
    <w:rsid w:val="004974F6"/>
    <w:rsid w:val="004A2AF6"/>
    <w:rsid w:val="004A6CEE"/>
    <w:rsid w:val="004B0CCF"/>
    <w:rsid w:val="004B19F6"/>
    <w:rsid w:val="004B4DAB"/>
    <w:rsid w:val="004C40F3"/>
    <w:rsid w:val="004D32C4"/>
    <w:rsid w:val="004D3CFA"/>
    <w:rsid w:val="004D46CC"/>
    <w:rsid w:val="004D5B5F"/>
    <w:rsid w:val="004E6FAD"/>
    <w:rsid w:val="004F1A04"/>
    <w:rsid w:val="004F4781"/>
    <w:rsid w:val="004F6DF9"/>
    <w:rsid w:val="00501410"/>
    <w:rsid w:val="00503183"/>
    <w:rsid w:val="00513BCB"/>
    <w:rsid w:val="00524FCE"/>
    <w:rsid w:val="005252B9"/>
    <w:rsid w:val="00527B51"/>
    <w:rsid w:val="00535110"/>
    <w:rsid w:val="00560482"/>
    <w:rsid w:val="00563630"/>
    <w:rsid w:val="00566B39"/>
    <w:rsid w:val="00567FB3"/>
    <w:rsid w:val="00570958"/>
    <w:rsid w:val="005714B6"/>
    <w:rsid w:val="0057155D"/>
    <w:rsid w:val="00572462"/>
    <w:rsid w:val="00577A57"/>
    <w:rsid w:val="00581FC1"/>
    <w:rsid w:val="005821E9"/>
    <w:rsid w:val="0058415D"/>
    <w:rsid w:val="00584280"/>
    <w:rsid w:val="00584C3D"/>
    <w:rsid w:val="00584E11"/>
    <w:rsid w:val="00584E82"/>
    <w:rsid w:val="005855B5"/>
    <w:rsid w:val="00586727"/>
    <w:rsid w:val="005867E2"/>
    <w:rsid w:val="00587E60"/>
    <w:rsid w:val="005905B6"/>
    <w:rsid w:val="00592775"/>
    <w:rsid w:val="005954A8"/>
    <w:rsid w:val="00596114"/>
    <w:rsid w:val="005A1324"/>
    <w:rsid w:val="005A6AF0"/>
    <w:rsid w:val="005A7410"/>
    <w:rsid w:val="005B0251"/>
    <w:rsid w:val="005B4CCB"/>
    <w:rsid w:val="005B574A"/>
    <w:rsid w:val="005B7B5F"/>
    <w:rsid w:val="005C091E"/>
    <w:rsid w:val="005C51FB"/>
    <w:rsid w:val="005C609A"/>
    <w:rsid w:val="005D3B85"/>
    <w:rsid w:val="005E17AC"/>
    <w:rsid w:val="005E1D38"/>
    <w:rsid w:val="005E7519"/>
    <w:rsid w:val="005F4D1C"/>
    <w:rsid w:val="00607C5A"/>
    <w:rsid w:val="00610214"/>
    <w:rsid w:val="00610C02"/>
    <w:rsid w:val="00611D90"/>
    <w:rsid w:val="00613F0D"/>
    <w:rsid w:val="00615DD0"/>
    <w:rsid w:val="00624B67"/>
    <w:rsid w:val="006276EE"/>
    <w:rsid w:val="00630F4B"/>
    <w:rsid w:val="00632DC7"/>
    <w:rsid w:val="00633C7F"/>
    <w:rsid w:val="00636F95"/>
    <w:rsid w:val="00636FAF"/>
    <w:rsid w:val="00651EB2"/>
    <w:rsid w:val="00657E57"/>
    <w:rsid w:val="006662E8"/>
    <w:rsid w:val="0067200C"/>
    <w:rsid w:val="00675D49"/>
    <w:rsid w:val="00676701"/>
    <w:rsid w:val="00683E62"/>
    <w:rsid w:val="00683F4E"/>
    <w:rsid w:val="00684DF3"/>
    <w:rsid w:val="00690F46"/>
    <w:rsid w:val="00694FA5"/>
    <w:rsid w:val="006978A0"/>
    <w:rsid w:val="006A01A3"/>
    <w:rsid w:val="006A1A7E"/>
    <w:rsid w:val="006A2131"/>
    <w:rsid w:val="006A73D4"/>
    <w:rsid w:val="006B4155"/>
    <w:rsid w:val="006B6DC3"/>
    <w:rsid w:val="006C6112"/>
    <w:rsid w:val="006D171A"/>
    <w:rsid w:val="006D668B"/>
    <w:rsid w:val="006D76AB"/>
    <w:rsid w:val="006E1B36"/>
    <w:rsid w:val="006E2040"/>
    <w:rsid w:val="006E5D29"/>
    <w:rsid w:val="006E61DD"/>
    <w:rsid w:val="006F1655"/>
    <w:rsid w:val="006F4D39"/>
    <w:rsid w:val="006F5BB3"/>
    <w:rsid w:val="00702514"/>
    <w:rsid w:val="007139E1"/>
    <w:rsid w:val="00714884"/>
    <w:rsid w:val="00717440"/>
    <w:rsid w:val="00730CD0"/>
    <w:rsid w:val="0073580D"/>
    <w:rsid w:val="00735AC4"/>
    <w:rsid w:val="00737039"/>
    <w:rsid w:val="007400EF"/>
    <w:rsid w:val="00743666"/>
    <w:rsid w:val="0074737E"/>
    <w:rsid w:val="00747DED"/>
    <w:rsid w:val="00753AA0"/>
    <w:rsid w:val="00755891"/>
    <w:rsid w:val="007655AC"/>
    <w:rsid w:val="0077624C"/>
    <w:rsid w:val="007815FD"/>
    <w:rsid w:val="00783FE1"/>
    <w:rsid w:val="007941D0"/>
    <w:rsid w:val="0079762A"/>
    <w:rsid w:val="007A095D"/>
    <w:rsid w:val="007A4E41"/>
    <w:rsid w:val="007A51CE"/>
    <w:rsid w:val="007A7B9E"/>
    <w:rsid w:val="007B512E"/>
    <w:rsid w:val="007C07BE"/>
    <w:rsid w:val="007E2AA5"/>
    <w:rsid w:val="007E3B11"/>
    <w:rsid w:val="007F2AEB"/>
    <w:rsid w:val="007F5259"/>
    <w:rsid w:val="007F556E"/>
    <w:rsid w:val="007F726A"/>
    <w:rsid w:val="0080294E"/>
    <w:rsid w:val="008071DB"/>
    <w:rsid w:val="00810F45"/>
    <w:rsid w:val="00811D9B"/>
    <w:rsid w:val="00812560"/>
    <w:rsid w:val="0081792A"/>
    <w:rsid w:val="00817C9C"/>
    <w:rsid w:val="00822276"/>
    <w:rsid w:val="00825BD5"/>
    <w:rsid w:val="008261DE"/>
    <w:rsid w:val="008265E0"/>
    <w:rsid w:val="0082690C"/>
    <w:rsid w:val="0082712F"/>
    <w:rsid w:val="0083316E"/>
    <w:rsid w:val="00834D14"/>
    <w:rsid w:val="00836265"/>
    <w:rsid w:val="0084168A"/>
    <w:rsid w:val="00841A6F"/>
    <w:rsid w:val="008424BE"/>
    <w:rsid w:val="00846D4B"/>
    <w:rsid w:val="00856AA7"/>
    <w:rsid w:val="008606A2"/>
    <w:rsid w:val="008615F7"/>
    <w:rsid w:val="00867B9B"/>
    <w:rsid w:val="00872E8B"/>
    <w:rsid w:val="00876CDE"/>
    <w:rsid w:val="00876D5F"/>
    <w:rsid w:val="0087784A"/>
    <w:rsid w:val="00877BA0"/>
    <w:rsid w:val="00877E2B"/>
    <w:rsid w:val="008818AF"/>
    <w:rsid w:val="00890638"/>
    <w:rsid w:val="008A7C6F"/>
    <w:rsid w:val="008B4E4E"/>
    <w:rsid w:val="008B54D2"/>
    <w:rsid w:val="008B5BDB"/>
    <w:rsid w:val="008B5D6F"/>
    <w:rsid w:val="008B6D9C"/>
    <w:rsid w:val="008D29D7"/>
    <w:rsid w:val="008D2C82"/>
    <w:rsid w:val="008D6DD0"/>
    <w:rsid w:val="008E09F8"/>
    <w:rsid w:val="008E1237"/>
    <w:rsid w:val="008E5EF1"/>
    <w:rsid w:val="008E7D90"/>
    <w:rsid w:val="008F1B47"/>
    <w:rsid w:val="00900F22"/>
    <w:rsid w:val="009039AF"/>
    <w:rsid w:val="00904DD8"/>
    <w:rsid w:val="0090559C"/>
    <w:rsid w:val="0091080A"/>
    <w:rsid w:val="00912567"/>
    <w:rsid w:val="009178D9"/>
    <w:rsid w:val="00920AF5"/>
    <w:rsid w:val="00922B93"/>
    <w:rsid w:val="00926769"/>
    <w:rsid w:val="00926B67"/>
    <w:rsid w:val="00927158"/>
    <w:rsid w:val="00930662"/>
    <w:rsid w:val="00931D0F"/>
    <w:rsid w:val="0094059D"/>
    <w:rsid w:val="009422D6"/>
    <w:rsid w:val="00943F2F"/>
    <w:rsid w:val="00946462"/>
    <w:rsid w:val="00952CF8"/>
    <w:rsid w:val="00953E90"/>
    <w:rsid w:val="0095485D"/>
    <w:rsid w:val="00954F58"/>
    <w:rsid w:val="00955F1C"/>
    <w:rsid w:val="009567DB"/>
    <w:rsid w:val="0096422D"/>
    <w:rsid w:val="0096495F"/>
    <w:rsid w:val="00973DD9"/>
    <w:rsid w:val="00977F5D"/>
    <w:rsid w:val="00981D07"/>
    <w:rsid w:val="00982007"/>
    <w:rsid w:val="009863CC"/>
    <w:rsid w:val="0098688C"/>
    <w:rsid w:val="00987DC6"/>
    <w:rsid w:val="0099580B"/>
    <w:rsid w:val="00996FD6"/>
    <w:rsid w:val="009A3C43"/>
    <w:rsid w:val="009B1401"/>
    <w:rsid w:val="009B3A63"/>
    <w:rsid w:val="009B5984"/>
    <w:rsid w:val="009B754B"/>
    <w:rsid w:val="009C7735"/>
    <w:rsid w:val="009D15D4"/>
    <w:rsid w:val="009D2C25"/>
    <w:rsid w:val="009D4446"/>
    <w:rsid w:val="009E37CA"/>
    <w:rsid w:val="009E3E02"/>
    <w:rsid w:val="009E54C4"/>
    <w:rsid w:val="009E5787"/>
    <w:rsid w:val="009F28C7"/>
    <w:rsid w:val="009F2A36"/>
    <w:rsid w:val="009F3706"/>
    <w:rsid w:val="009F6674"/>
    <w:rsid w:val="00A03683"/>
    <w:rsid w:val="00A05460"/>
    <w:rsid w:val="00A128D5"/>
    <w:rsid w:val="00A15EFD"/>
    <w:rsid w:val="00A302A4"/>
    <w:rsid w:val="00A308EC"/>
    <w:rsid w:val="00A37520"/>
    <w:rsid w:val="00A403EB"/>
    <w:rsid w:val="00A42479"/>
    <w:rsid w:val="00A4452C"/>
    <w:rsid w:val="00A45095"/>
    <w:rsid w:val="00A53402"/>
    <w:rsid w:val="00A55BF2"/>
    <w:rsid w:val="00A57E0A"/>
    <w:rsid w:val="00A65659"/>
    <w:rsid w:val="00A70516"/>
    <w:rsid w:val="00A73030"/>
    <w:rsid w:val="00A73B95"/>
    <w:rsid w:val="00A7413B"/>
    <w:rsid w:val="00A753B0"/>
    <w:rsid w:val="00A82E2E"/>
    <w:rsid w:val="00A842C1"/>
    <w:rsid w:val="00A87200"/>
    <w:rsid w:val="00A8743F"/>
    <w:rsid w:val="00A95CDC"/>
    <w:rsid w:val="00A96E50"/>
    <w:rsid w:val="00AA01D2"/>
    <w:rsid w:val="00AA11B7"/>
    <w:rsid w:val="00AA1EB9"/>
    <w:rsid w:val="00AA32C8"/>
    <w:rsid w:val="00AA48B6"/>
    <w:rsid w:val="00AA552C"/>
    <w:rsid w:val="00AA60AF"/>
    <w:rsid w:val="00AA71C9"/>
    <w:rsid w:val="00AA7B2F"/>
    <w:rsid w:val="00AB2800"/>
    <w:rsid w:val="00AB29CA"/>
    <w:rsid w:val="00AB5582"/>
    <w:rsid w:val="00AC2379"/>
    <w:rsid w:val="00AC32BD"/>
    <w:rsid w:val="00AC4626"/>
    <w:rsid w:val="00AC767D"/>
    <w:rsid w:val="00AC7871"/>
    <w:rsid w:val="00AD3D91"/>
    <w:rsid w:val="00AD4A45"/>
    <w:rsid w:val="00AD738B"/>
    <w:rsid w:val="00AD7FA4"/>
    <w:rsid w:val="00AE06FC"/>
    <w:rsid w:val="00AF1422"/>
    <w:rsid w:val="00AF2694"/>
    <w:rsid w:val="00AF6C9F"/>
    <w:rsid w:val="00B014AF"/>
    <w:rsid w:val="00B046DF"/>
    <w:rsid w:val="00B0634B"/>
    <w:rsid w:val="00B113FA"/>
    <w:rsid w:val="00B11AFC"/>
    <w:rsid w:val="00B1522D"/>
    <w:rsid w:val="00B15242"/>
    <w:rsid w:val="00B220D1"/>
    <w:rsid w:val="00B22FCF"/>
    <w:rsid w:val="00B24B93"/>
    <w:rsid w:val="00B25F99"/>
    <w:rsid w:val="00B31032"/>
    <w:rsid w:val="00B310C3"/>
    <w:rsid w:val="00B315BF"/>
    <w:rsid w:val="00B3477A"/>
    <w:rsid w:val="00B376EF"/>
    <w:rsid w:val="00B42002"/>
    <w:rsid w:val="00B442BB"/>
    <w:rsid w:val="00B515EB"/>
    <w:rsid w:val="00B52C07"/>
    <w:rsid w:val="00B54D7B"/>
    <w:rsid w:val="00B5762A"/>
    <w:rsid w:val="00B57664"/>
    <w:rsid w:val="00B73481"/>
    <w:rsid w:val="00B75B48"/>
    <w:rsid w:val="00B81679"/>
    <w:rsid w:val="00B82280"/>
    <w:rsid w:val="00B91A24"/>
    <w:rsid w:val="00B944A8"/>
    <w:rsid w:val="00B9643D"/>
    <w:rsid w:val="00B96834"/>
    <w:rsid w:val="00BA252B"/>
    <w:rsid w:val="00BA36F5"/>
    <w:rsid w:val="00BA3965"/>
    <w:rsid w:val="00BB02D9"/>
    <w:rsid w:val="00BB6054"/>
    <w:rsid w:val="00BB7BF4"/>
    <w:rsid w:val="00BC0CAE"/>
    <w:rsid w:val="00BC339D"/>
    <w:rsid w:val="00BC6EC6"/>
    <w:rsid w:val="00BD4222"/>
    <w:rsid w:val="00BD7E8A"/>
    <w:rsid w:val="00BE179E"/>
    <w:rsid w:val="00BE1EA0"/>
    <w:rsid w:val="00BF09A0"/>
    <w:rsid w:val="00BF1A47"/>
    <w:rsid w:val="00BF3C2B"/>
    <w:rsid w:val="00BF4EDE"/>
    <w:rsid w:val="00BF6BC5"/>
    <w:rsid w:val="00C00886"/>
    <w:rsid w:val="00C0672F"/>
    <w:rsid w:val="00C17395"/>
    <w:rsid w:val="00C26251"/>
    <w:rsid w:val="00C30FF4"/>
    <w:rsid w:val="00C43DE2"/>
    <w:rsid w:val="00C46F95"/>
    <w:rsid w:val="00C4724F"/>
    <w:rsid w:val="00C50D58"/>
    <w:rsid w:val="00C57F82"/>
    <w:rsid w:val="00C63779"/>
    <w:rsid w:val="00C63A42"/>
    <w:rsid w:val="00C67818"/>
    <w:rsid w:val="00C764E4"/>
    <w:rsid w:val="00C83B58"/>
    <w:rsid w:val="00C85FAF"/>
    <w:rsid w:val="00C979AF"/>
    <w:rsid w:val="00CA54D0"/>
    <w:rsid w:val="00CA5C22"/>
    <w:rsid w:val="00CB7970"/>
    <w:rsid w:val="00CC3F1A"/>
    <w:rsid w:val="00CE005C"/>
    <w:rsid w:val="00CE1A0D"/>
    <w:rsid w:val="00CE3573"/>
    <w:rsid w:val="00D00A7E"/>
    <w:rsid w:val="00D00A89"/>
    <w:rsid w:val="00D01164"/>
    <w:rsid w:val="00D0197B"/>
    <w:rsid w:val="00D0241C"/>
    <w:rsid w:val="00D04168"/>
    <w:rsid w:val="00D043BD"/>
    <w:rsid w:val="00D10096"/>
    <w:rsid w:val="00D1259D"/>
    <w:rsid w:val="00D1375F"/>
    <w:rsid w:val="00D21CA2"/>
    <w:rsid w:val="00D3252E"/>
    <w:rsid w:val="00D33BFE"/>
    <w:rsid w:val="00D37B0C"/>
    <w:rsid w:val="00D47411"/>
    <w:rsid w:val="00D5115D"/>
    <w:rsid w:val="00D543DC"/>
    <w:rsid w:val="00D55002"/>
    <w:rsid w:val="00D61420"/>
    <w:rsid w:val="00D614B5"/>
    <w:rsid w:val="00D615CD"/>
    <w:rsid w:val="00D62367"/>
    <w:rsid w:val="00D6320C"/>
    <w:rsid w:val="00D736FC"/>
    <w:rsid w:val="00D75DFD"/>
    <w:rsid w:val="00D84C7B"/>
    <w:rsid w:val="00D934E3"/>
    <w:rsid w:val="00D96A20"/>
    <w:rsid w:val="00DA190D"/>
    <w:rsid w:val="00DB0936"/>
    <w:rsid w:val="00DB19BA"/>
    <w:rsid w:val="00DB1BD9"/>
    <w:rsid w:val="00DB580E"/>
    <w:rsid w:val="00DB5A7D"/>
    <w:rsid w:val="00DB75DF"/>
    <w:rsid w:val="00DC05E0"/>
    <w:rsid w:val="00DC15B3"/>
    <w:rsid w:val="00DC3666"/>
    <w:rsid w:val="00DC623B"/>
    <w:rsid w:val="00DD31E0"/>
    <w:rsid w:val="00DE5632"/>
    <w:rsid w:val="00DE6A0B"/>
    <w:rsid w:val="00DF0074"/>
    <w:rsid w:val="00DF065C"/>
    <w:rsid w:val="00DF10D2"/>
    <w:rsid w:val="00DF4489"/>
    <w:rsid w:val="00DF6128"/>
    <w:rsid w:val="00DF763F"/>
    <w:rsid w:val="00E10795"/>
    <w:rsid w:val="00E1112C"/>
    <w:rsid w:val="00E122C6"/>
    <w:rsid w:val="00E150E9"/>
    <w:rsid w:val="00E156CA"/>
    <w:rsid w:val="00E16ACB"/>
    <w:rsid w:val="00E210A9"/>
    <w:rsid w:val="00E3160B"/>
    <w:rsid w:val="00E33BBC"/>
    <w:rsid w:val="00E364CF"/>
    <w:rsid w:val="00E366F8"/>
    <w:rsid w:val="00E4044E"/>
    <w:rsid w:val="00E4493F"/>
    <w:rsid w:val="00E464F0"/>
    <w:rsid w:val="00E46D95"/>
    <w:rsid w:val="00E53803"/>
    <w:rsid w:val="00E62329"/>
    <w:rsid w:val="00E742BC"/>
    <w:rsid w:val="00E7529C"/>
    <w:rsid w:val="00E80E06"/>
    <w:rsid w:val="00E84BDA"/>
    <w:rsid w:val="00E853FE"/>
    <w:rsid w:val="00E91D96"/>
    <w:rsid w:val="00E926F9"/>
    <w:rsid w:val="00E95AF3"/>
    <w:rsid w:val="00E96609"/>
    <w:rsid w:val="00EA2281"/>
    <w:rsid w:val="00EA48D3"/>
    <w:rsid w:val="00EB07DF"/>
    <w:rsid w:val="00EB27E2"/>
    <w:rsid w:val="00EB2845"/>
    <w:rsid w:val="00EC466E"/>
    <w:rsid w:val="00ED5EB7"/>
    <w:rsid w:val="00ED6E48"/>
    <w:rsid w:val="00ED6EB3"/>
    <w:rsid w:val="00ED7B62"/>
    <w:rsid w:val="00EE5403"/>
    <w:rsid w:val="00EF148F"/>
    <w:rsid w:val="00EF19AA"/>
    <w:rsid w:val="00EF4957"/>
    <w:rsid w:val="00EF6D97"/>
    <w:rsid w:val="00F024C9"/>
    <w:rsid w:val="00F0669C"/>
    <w:rsid w:val="00F104D7"/>
    <w:rsid w:val="00F1333E"/>
    <w:rsid w:val="00F216D8"/>
    <w:rsid w:val="00F221DC"/>
    <w:rsid w:val="00F25025"/>
    <w:rsid w:val="00F27EB6"/>
    <w:rsid w:val="00F30E5E"/>
    <w:rsid w:val="00F34136"/>
    <w:rsid w:val="00F3572D"/>
    <w:rsid w:val="00F360F2"/>
    <w:rsid w:val="00F37FF6"/>
    <w:rsid w:val="00F416D6"/>
    <w:rsid w:val="00F41DFB"/>
    <w:rsid w:val="00F44DC2"/>
    <w:rsid w:val="00F45111"/>
    <w:rsid w:val="00F472AF"/>
    <w:rsid w:val="00F4779A"/>
    <w:rsid w:val="00F52767"/>
    <w:rsid w:val="00F5302B"/>
    <w:rsid w:val="00F629E7"/>
    <w:rsid w:val="00F632FA"/>
    <w:rsid w:val="00F676AE"/>
    <w:rsid w:val="00F730BE"/>
    <w:rsid w:val="00F81E13"/>
    <w:rsid w:val="00F84049"/>
    <w:rsid w:val="00F9050D"/>
    <w:rsid w:val="00F9309D"/>
    <w:rsid w:val="00F94817"/>
    <w:rsid w:val="00FA3457"/>
    <w:rsid w:val="00FA354B"/>
    <w:rsid w:val="00FA35AA"/>
    <w:rsid w:val="00FB2C6B"/>
    <w:rsid w:val="00FB3159"/>
    <w:rsid w:val="00FB5A2D"/>
    <w:rsid w:val="00FC0B55"/>
    <w:rsid w:val="00FC44AA"/>
    <w:rsid w:val="00FC50E2"/>
    <w:rsid w:val="00FC64B6"/>
    <w:rsid w:val="00FC6607"/>
    <w:rsid w:val="00FC68C6"/>
    <w:rsid w:val="00FC7740"/>
    <w:rsid w:val="00FD0300"/>
    <w:rsid w:val="00FD34AF"/>
    <w:rsid w:val="00FE15BC"/>
    <w:rsid w:val="00FE1A03"/>
    <w:rsid w:val="00FE4487"/>
    <w:rsid w:val="00FE44D7"/>
    <w:rsid w:val="00FF1024"/>
    <w:rsid w:val="00FF22D6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BA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45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06FC"/>
  </w:style>
  <w:style w:type="paragraph" w:styleId="ab">
    <w:name w:val="footer"/>
    <w:basedOn w:val="a"/>
    <w:link w:val="ac"/>
    <w:uiPriority w:val="99"/>
    <w:unhideWhenUsed/>
    <w:rsid w:val="0045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BA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45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06FC"/>
  </w:style>
  <w:style w:type="paragraph" w:styleId="ab">
    <w:name w:val="footer"/>
    <w:basedOn w:val="a"/>
    <w:link w:val="ac"/>
    <w:uiPriority w:val="99"/>
    <w:unhideWhenUsed/>
    <w:rsid w:val="0045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B47E-58B6-4066-989B-32AABD12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Ольга Сергеевна</cp:lastModifiedBy>
  <cp:revision>2</cp:revision>
  <cp:lastPrinted>2015-02-18T04:53:00Z</cp:lastPrinted>
  <dcterms:created xsi:type="dcterms:W3CDTF">2015-03-27T01:16:00Z</dcterms:created>
  <dcterms:modified xsi:type="dcterms:W3CDTF">2015-03-27T01:16:00Z</dcterms:modified>
</cp:coreProperties>
</file>