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B" w:rsidRDefault="00482F39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A9EB5E" wp14:editId="50B740C0">
            <wp:simplePos x="0" y="0"/>
            <wp:positionH relativeFrom="column">
              <wp:posOffset>-43815</wp:posOffset>
            </wp:positionH>
            <wp:positionV relativeFrom="paragraph">
              <wp:posOffset>86360</wp:posOffset>
            </wp:positionV>
            <wp:extent cx="9505950" cy="6181725"/>
            <wp:effectExtent l="0" t="0" r="0" b="9525"/>
            <wp:wrapTight wrapText="bothSides">
              <wp:wrapPolygon edited="0">
                <wp:start x="0" y="0"/>
                <wp:lineTo x="0" y="21567"/>
                <wp:lineTo x="21557" y="21567"/>
                <wp:lineTo x="21557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8B" w:rsidRPr="0018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68B" w:rsidRDefault="0020568B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8B" w:rsidRDefault="0020568B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39" w:rsidRDefault="00482F39" w:rsidP="003C4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2F39" w:rsidRDefault="00482F39" w:rsidP="003C4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4079" w:rsidRPr="00C42946" w:rsidRDefault="003C4079" w:rsidP="003C40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946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14"/>
        <w:gridCol w:w="1182"/>
        <w:gridCol w:w="2850"/>
        <w:gridCol w:w="1790"/>
        <w:gridCol w:w="1848"/>
        <w:gridCol w:w="1935"/>
        <w:gridCol w:w="1280"/>
        <w:gridCol w:w="1013"/>
      </w:tblGrid>
      <w:tr w:rsidR="003C4079" w:rsidRPr="00C42946" w:rsidTr="003C4079">
        <w:trPr>
          <w:trHeight w:val="360"/>
          <w:jc w:val="center"/>
        </w:trPr>
        <w:tc>
          <w:tcPr>
            <w:tcW w:w="884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4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640" w:type="dxa"/>
            <w:gridSpan w:val="2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5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013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3C4079" w:rsidRPr="00C42946" w:rsidTr="003C4079">
        <w:trPr>
          <w:trHeight w:val="216"/>
          <w:jc w:val="center"/>
        </w:trPr>
        <w:tc>
          <w:tcPr>
            <w:tcW w:w="884" w:type="dxa"/>
            <w:vMerge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4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42946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079" w:rsidRPr="00C42946" w:rsidTr="003C4079">
        <w:trPr>
          <w:trHeight w:val="360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4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2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8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5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8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3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C4079" w:rsidRPr="00C42946" w:rsidTr="003C4079">
        <w:trPr>
          <w:trHeight w:val="38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360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6C4320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6C4320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765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6C4320" w:rsidP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87E4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74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IV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587E43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50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3C4079" w:rsidRPr="00C42946" w:rsidTr="003C4079">
        <w:trPr>
          <w:trHeight w:val="38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9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50" w:type="dxa"/>
          </w:tcPr>
          <w:p w:rsidR="003C4079" w:rsidRPr="00C42946" w:rsidRDefault="003C4079" w:rsidP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87E4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5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13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68B" w:rsidRPr="00D53CCD" w:rsidRDefault="0020568B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учебного процесса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35"/>
        <w:gridCol w:w="1134"/>
        <w:gridCol w:w="850"/>
        <w:gridCol w:w="851"/>
        <w:gridCol w:w="850"/>
        <w:gridCol w:w="709"/>
        <w:gridCol w:w="709"/>
        <w:gridCol w:w="709"/>
        <w:gridCol w:w="992"/>
        <w:gridCol w:w="992"/>
        <w:gridCol w:w="851"/>
        <w:gridCol w:w="850"/>
        <w:gridCol w:w="853"/>
        <w:gridCol w:w="850"/>
        <w:gridCol w:w="788"/>
      </w:tblGrid>
      <w:tr w:rsidR="0020568B" w:rsidRPr="00D17BA2" w:rsidTr="00AB3E3A">
        <w:trPr>
          <w:cantSplit/>
          <w:trHeight w:val="539"/>
          <w:jc w:val="center"/>
        </w:trPr>
        <w:tc>
          <w:tcPr>
            <w:tcW w:w="1105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35" w:type="dxa"/>
            <w:vMerge w:val="restart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 аттестации</w:t>
            </w:r>
          </w:p>
        </w:tc>
        <w:tc>
          <w:tcPr>
            <w:tcW w:w="3260" w:type="dxa"/>
            <w:gridSpan w:val="4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709" w:type="dxa"/>
            <w:vMerge w:val="restart"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6885" w:type="dxa"/>
            <w:gridSpan w:val="8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(аудиторной) нагрузки по курсам и семестрам</w:t>
            </w:r>
          </w:p>
        </w:tc>
      </w:tr>
      <w:tr w:rsidR="0020568B" w:rsidRPr="00D17BA2" w:rsidTr="00AB3E3A">
        <w:trPr>
          <w:cantSplit/>
          <w:trHeight w:val="748"/>
          <w:jc w:val="center"/>
        </w:trPr>
        <w:tc>
          <w:tcPr>
            <w:tcW w:w="1105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709" w:type="dxa"/>
            <w:vMerge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03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638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курс</w:t>
            </w: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ЛПР </w:t>
            </w:r>
          </w:p>
        </w:tc>
        <w:tc>
          <w:tcPr>
            <w:tcW w:w="709" w:type="dxa"/>
            <w:vMerge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68B" w:rsidRPr="00CB51D1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851" w:type="dxa"/>
            <w:vAlign w:val="center"/>
          </w:tcPr>
          <w:p w:rsidR="0020568B" w:rsidRPr="00CB51D1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CB51D1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-/Э</w:t>
            </w: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2835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E62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CF653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6A3B47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6A3B47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CF65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6A3B47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6A3B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3B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8B5F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6A3B47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6A3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4A240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4A240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4A240A" w:rsidRDefault="00587E43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F27B1"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4A240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4A240A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4A240A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37628" w:rsidRDefault="0020568B" w:rsidP="00AB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lang w:eastAsia="ru-RU"/>
              </w:rPr>
              <w:t>ОГСЭ.00</w:t>
            </w:r>
          </w:p>
        </w:tc>
        <w:tc>
          <w:tcPr>
            <w:tcW w:w="2835" w:type="dxa"/>
            <w:vAlign w:val="center"/>
          </w:tcPr>
          <w:p w:rsidR="0020568B" w:rsidRPr="00D37628" w:rsidRDefault="0020568B" w:rsidP="00AB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0568B" w:rsidRPr="00D17BA2" w:rsidRDefault="008B5F0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0568B" w:rsidRPr="00D17BA2" w:rsidRDefault="008B5F07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0568B" w:rsidRPr="00D17BA2" w:rsidRDefault="0063743C" w:rsidP="00637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="008B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proofErr w:type="gramStart"/>
            <w:r w:rsidR="008B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5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,З,З,З</w:t>
            </w:r>
            <w:r w:rsidR="00511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568B" w:rsidRPr="00D17BA2" w:rsidTr="00B220A8">
        <w:trPr>
          <w:cantSplit/>
          <w:trHeight w:val="1103"/>
          <w:jc w:val="center"/>
        </w:trPr>
        <w:tc>
          <w:tcPr>
            <w:tcW w:w="1105" w:type="dxa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835" w:type="dxa"/>
          </w:tcPr>
          <w:p w:rsidR="0020568B" w:rsidRPr="00D17BA2" w:rsidRDefault="0020568B" w:rsidP="00AB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A313FF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851" w:type="dxa"/>
            <w:vAlign w:val="center"/>
          </w:tcPr>
          <w:p w:rsidR="0020568B" w:rsidRPr="00D17BA2" w:rsidRDefault="00A313FF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0568B" w:rsidRPr="00AB3E3A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20568B" w:rsidRPr="00AB3E3A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B3E3A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B3E3A" w:rsidRDefault="007402E9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6A3B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A3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24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 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CF653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EC7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экономики</w:t>
            </w:r>
          </w:p>
        </w:tc>
        <w:tc>
          <w:tcPr>
            <w:tcW w:w="1134" w:type="dxa"/>
            <w:vAlign w:val="center"/>
          </w:tcPr>
          <w:p w:rsidR="000F27B1" w:rsidRDefault="00A8211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  <w:p w:rsidR="00A8211A" w:rsidRPr="00A8211A" w:rsidRDefault="00A8211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курсовая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7D2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="007D2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-/Э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</w:t>
            </w:r>
            <w:r w:rsidR="00A82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в профессию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1C5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 угля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Default="000F27B1" w:rsidP="001C5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2835" w:type="dxa"/>
            <w:vAlign w:val="center"/>
          </w:tcPr>
          <w:p w:rsidR="000F27B1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7B1" w:rsidRPr="00D17BA2" w:rsidRDefault="000F27B1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AB3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AB3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технологических процессов обогащения полезных</w:t>
            </w:r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ископаемых согласно заданным параметрам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382940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382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382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0F27B1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7B1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богащения 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  <w:r w:rsidR="00300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B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="007B31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курсовая </w:t>
            </w:r>
            <w:r w:rsidR="00300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0F27B1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194B3B" w:rsidRDefault="0030008D" w:rsidP="00194B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835" w:type="dxa"/>
            <w:vAlign w:val="center"/>
          </w:tcPr>
          <w:p w:rsidR="0030008D" w:rsidRPr="00194B3B" w:rsidRDefault="0030008D" w:rsidP="00194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1134" w:type="dxa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008D" w:rsidRPr="00194B3B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194B3B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 процесс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богащения   полезных</w:t>
            </w:r>
          </w:p>
          <w:p w:rsidR="0030008D" w:rsidRPr="00D17BA2" w:rsidRDefault="0030008D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976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-/ДЗ</w:t>
            </w:r>
            <w:r w:rsidR="00194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курсовая</w:t>
            </w:r>
          </w:p>
        </w:tc>
        <w:tc>
          <w:tcPr>
            <w:tcW w:w="850" w:type="dxa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30008D" w:rsidRPr="00D17BA2" w:rsidRDefault="00194B3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01.03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обогатительной</w:t>
            </w:r>
          </w:p>
          <w:p w:rsidR="0030008D" w:rsidRPr="00D17BA2" w:rsidRDefault="0030008D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-/-/-/-/-/-/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194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курсовая</w:t>
            </w:r>
          </w:p>
        </w:tc>
        <w:tc>
          <w:tcPr>
            <w:tcW w:w="850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C76603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30008D" w:rsidRPr="00D17BA2" w:rsidRDefault="00194B3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194B3B">
        <w:trPr>
          <w:cantSplit/>
          <w:trHeight w:val="77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автоматизация  процесса</w:t>
            </w:r>
          </w:p>
          <w:p w:rsidR="0030008D" w:rsidRPr="00D17BA2" w:rsidRDefault="0030008D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обогащения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1352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="00135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="00194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500"/>
          <w:jc w:val="center"/>
        </w:trPr>
        <w:tc>
          <w:tcPr>
            <w:tcW w:w="1105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835" w:type="dxa"/>
            <w:shd w:val="clear" w:color="auto" w:fill="FFFFFF" w:themeFill="background1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FFFFFF" w:themeFill="background1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77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r w:rsidR="00A82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безопасных условий труда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</w:t>
            </w: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управления охраной труда и промышленной  безопасностью на обогатительной  фабрике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="00A82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587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производственной деятельности технического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</w:t>
            </w:r>
          </w:p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подразделением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A821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-/-/-/-/-/-/-/Э</w:t>
            </w:r>
          </w:p>
        </w:tc>
        <w:tc>
          <w:tcPr>
            <w:tcW w:w="850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7D2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="00A82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194B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r w:rsidR="00194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</w:t>
            </w:r>
            <w:r w:rsidR="00A82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0008D" w:rsidRPr="00D17BA2" w:rsidTr="00B220A8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709" w:type="dxa"/>
            <w:shd w:val="clear" w:color="auto" w:fill="auto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709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4A24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4A24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  <w:tr w:rsidR="0030008D" w:rsidRPr="00D17BA2" w:rsidTr="006A3B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hAnsi="Times New Roman" w:cs="Times New Roman"/>
                <w:b/>
              </w:rPr>
              <w:t>Итого часов с учебной и производственной практикой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0008D" w:rsidRPr="00D17BA2" w:rsidRDefault="0030008D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6A3B4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0008D" w:rsidRPr="00AB3E3A" w:rsidRDefault="0030008D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30008D" w:rsidRPr="00D17BA2" w:rsidTr="006A3B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0008D" w:rsidRPr="00D17BA2" w:rsidRDefault="0030008D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0008D" w:rsidRPr="00D17BA2" w:rsidRDefault="0030008D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0008D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 w:val="restart"/>
            <w:vAlign w:val="center"/>
          </w:tcPr>
          <w:p w:rsidR="0030008D" w:rsidRPr="00D17BA2" w:rsidRDefault="0030008D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Консультации на учебную группу на весь период обучения до 400  часов</w:t>
            </w:r>
          </w:p>
          <w:p w:rsidR="0030008D" w:rsidRPr="00D17BA2" w:rsidRDefault="0030008D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008D" w:rsidRPr="00D17BA2" w:rsidRDefault="0030008D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008D" w:rsidRPr="00D17BA2" w:rsidRDefault="0030008D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Промежуточная аттестация (6 недель)</w:t>
            </w:r>
          </w:p>
          <w:p w:rsidR="0030008D" w:rsidRPr="00D17BA2" w:rsidRDefault="0030008D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Государственная итоговая аттестация (6 недель)</w:t>
            </w:r>
          </w:p>
          <w:p w:rsidR="0030008D" w:rsidRPr="00D17BA2" w:rsidRDefault="0030008D" w:rsidP="00D5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0008D" w:rsidRPr="00D17BA2" w:rsidRDefault="0030008D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8B5F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008D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008D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0008D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5A758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13523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008D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D17BA2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008D" w:rsidRPr="00AB3E3A" w:rsidRDefault="0030008D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AB3E3A" w:rsidRDefault="005A758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0008D" w:rsidRPr="00AB3E3A" w:rsidRDefault="005A758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08D" w:rsidRPr="00135230" w:rsidRDefault="0013523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30008D" w:rsidRPr="00135230" w:rsidRDefault="00194B3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программы  подготовки  </w:t>
      </w:r>
      <w:r w:rsidR="00A57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специалистов среднего звена</w:t>
      </w: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полезных ископаемых</w:t>
      </w:r>
    </w:p>
    <w:p w:rsidR="00E7788B" w:rsidRPr="00E7788B" w:rsidRDefault="00E7788B" w:rsidP="00E7788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реализации ПП</w:t>
      </w:r>
      <w:r w:rsidR="00A57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ССЗ</w:t>
      </w:r>
    </w:p>
    <w:p w:rsidR="00E7788B" w:rsidRPr="00E3256C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</w:t>
      </w:r>
      <w:proofErr w:type="gramStart"/>
      <w:r w:rsidRPr="00E3256C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программы подготовки специалистов среднего звена 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среднего профессионального образования краевого государственного бюджетного профессионального образовательного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учреждения «Чегдомынский горно-технологический  техникум"</w:t>
      </w:r>
      <w:r w:rsidRPr="00E3256C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E7788B" w:rsidRPr="00E3256C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 Федерального государственного образовательного стандарта среднего профессионального образования по профессии 21.02.18 Обогащение полезных ископаемых, утвержденного приказом Министерства образования и науки Российской Федерации № 499 от 12</w:t>
      </w:r>
      <w:r w:rsidR="000944C9"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мая 2014 года,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зарегистрирован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Министерством юстиции (регистрационный № 32867 от 26 июня  2014 года),   </w:t>
      </w:r>
    </w:p>
    <w:p w:rsidR="00E7788B" w:rsidRPr="00E3256C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E7788B" w:rsidRPr="00E3256C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E7788B" w:rsidRPr="00E3256C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E7788B" w:rsidRPr="00E3256C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E3256C"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</w:t>
      </w:r>
      <w:r w:rsidR="00E73B8D"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часов в неделю. 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организован в режиме шестидневной учебной недели, продолжительность занятия – 90 минут</w:t>
      </w:r>
      <w:r w:rsidR="00B82240"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пять минут.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ППССЗ  используются накопительные и рейтинговые системы оценивания.</w:t>
      </w:r>
    </w:p>
    <w:p w:rsidR="00E7788B" w:rsidRPr="00E3256C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F0C37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Учебная и производственная практики проводятся концентрировано </w:t>
      </w:r>
      <w:proofErr w:type="gramStart"/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3F0C37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F0C37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период прохождения учебной и производственной практики обучающиеся осваивают практические навыки, закрепляя теоретические знания</w:t>
      </w:r>
      <w:r w:rsidR="003F0C37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63743C" w:rsidRPr="0063743C" w:rsidRDefault="0063743C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43C">
        <w:rPr>
          <w:rFonts w:ascii="Times New Roman" w:hAnsi="Times New Roman" w:cs="Times New Roman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E7788B" w:rsidRPr="00E3256C" w:rsidRDefault="003F0C37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E7788B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</w:t>
      </w:r>
      <w:r w:rsidR="001A708F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ающегося на каждый учебный  год,</w:t>
      </w:r>
      <w:r w:rsidR="00E7788B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в период реализации среднего общего образования.</w:t>
      </w:r>
      <w:proofErr w:type="gramEnd"/>
      <w:r w:rsidR="00E7788B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7788B" w:rsidRPr="00E32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консультаций. Консультации проводятся по отдельному расписанию.</w:t>
      </w:r>
    </w:p>
    <w:p w:rsidR="00E7788B" w:rsidRPr="00E3256C" w:rsidRDefault="00E7788B" w:rsidP="003F0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788B" w:rsidRPr="00E3256C" w:rsidRDefault="00E7788B" w:rsidP="00E778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E3256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3256C">
        <w:rPr>
          <w:rFonts w:ascii="Times New Roman" w:hAnsi="Times New Roman" w:cs="Times New Roman"/>
          <w:sz w:val="24"/>
          <w:szCs w:val="24"/>
        </w:rPr>
        <w:t>.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E3256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3256C">
        <w:rPr>
          <w:rFonts w:ascii="Times New Roman" w:hAnsi="Times New Roman" w:cs="Times New Roman"/>
          <w:sz w:val="24"/>
          <w:szCs w:val="24"/>
        </w:rPr>
        <w:t>.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E3256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32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8E0" w:rsidRPr="009B2E7D" w:rsidRDefault="00B858E0" w:rsidP="00B858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 учебных дисциплин общеобразовательного цикла основной профессиональной образовательной программы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</w:t>
      </w:r>
      <w:r w:rsidRPr="00E3256C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E7788B" w:rsidRPr="00E3256C" w:rsidRDefault="00E7788B" w:rsidP="00E7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</w:t>
      </w:r>
      <w:proofErr w:type="gramStart"/>
      <w:r w:rsidRPr="00E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математике – в письменной форме, по физике – в устной.</w:t>
      </w:r>
      <w:proofErr w:type="gramEnd"/>
    </w:p>
    <w:p w:rsidR="00E7788B" w:rsidRPr="00E3256C" w:rsidRDefault="00E7788B" w:rsidP="00E7788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Формирование вариативной части ППКРС</w:t>
      </w:r>
    </w:p>
    <w:p w:rsidR="00E7788B" w:rsidRPr="00E3256C" w:rsidRDefault="00E7788B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Вариативная  часть </w:t>
      </w:r>
      <w:r w:rsidR="002C4306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ППССЗ </w:t>
      </w: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2C4306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</w:t>
      </w: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2C4306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распределена следующим образом:</w:t>
      </w:r>
    </w:p>
    <w:p w:rsidR="00E7788B" w:rsidRPr="00E3256C" w:rsidRDefault="00CA45F9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цикл увеличен на </w:t>
      </w:r>
      <w:r w:rsidR="00CE0A7A"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E0A7A"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добавлены дисциплины</w:t>
      </w:r>
    </w:p>
    <w:p w:rsidR="00E7788B" w:rsidRPr="00E3256C" w:rsidRDefault="002C4306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на рынке труда</w:t>
      </w:r>
      <w:r w:rsidR="00E7788B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E7788B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</w:p>
    <w:p w:rsidR="00E7788B" w:rsidRPr="00E3256C" w:rsidRDefault="00E7788B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профессию – 22 часа</w:t>
      </w:r>
    </w:p>
    <w:p w:rsidR="005F66CE" w:rsidRPr="00E3256C" w:rsidRDefault="005F66CE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физико-химические методы анализа угля -76 часов</w:t>
      </w:r>
    </w:p>
    <w:p w:rsidR="005F66CE" w:rsidRPr="00E3256C" w:rsidRDefault="005F66CE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– 30 часов</w:t>
      </w:r>
    </w:p>
    <w:p w:rsidR="00E7788B" w:rsidRPr="00E3256C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A45F9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модули – на </w:t>
      </w:r>
      <w:r w:rsidR="00CE0A7A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492</w:t>
      </w:r>
      <w:r w:rsidR="00CA45F9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CE0A7A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45F9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88B" w:rsidRPr="00E3256C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 w:rsidR="00CA45F9"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выпускника на рынке труда</w:t>
      </w:r>
      <w:r w:rsidRPr="00E3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практическим руководством для активных действий конкурентно-способных специалистов на рынке труда в поисках работы, «Введение в профессию» введены для формирования общих компетенций.</w:t>
      </w:r>
    </w:p>
    <w:p w:rsidR="00CE0A7A" w:rsidRPr="00E3256C" w:rsidRDefault="00CE0A7A" w:rsidP="00CE0A7A">
      <w:pPr>
        <w:pStyle w:val="Default"/>
        <w:jc w:val="both"/>
      </w:pPr>
      <w:r w:rsidRPr="00E3256C">
        <w:rPr>
          <w:i/>
          <w:iCs/>
        </w:rPr>
        <w:t xml:space="preserve">Основанием </w:t>
      </w:r>
      <w:r w:rsidRPr="00E3256C">
        <w:t xml:space="preserve">для распределения вариативной части ППССЗ являются: </w:t>
      </w:r>
    </w:p>
    <w:p w:rsidR="00CE0A7A" w:rsidRPr="00E3256C" w:rsidRDefault="00CE0A7A" w:rsidP="00CE0A7A">
      <w:pPr>
        <w:pStyle w:val="Default"/>
        <w:jc w:val="both"/>
      </w:pPr>
      <w:r w:rsidRPr="00E3256C">
        <w:t xml:space="preserve">необходимость расширения базовых знаний обучающихся для освоения профессиональных модулей (ОП); </w:t>
      </w:r>
    </w:p>
    <w:p w:rsidR="00CE0A7A" w:rsidRPr="00E3256C" w:rsidRDefault="00CE0A7A" w:rsidP="00CE0A7A">
      <w:pPr>
        <w:pStyle w:val="Default"/>
        <w:jc w:val="both"/>
      </w:pPr>
      <w:r w:rsidRPr="00E3256C">
        <w:t xml:space="preserve">углубление освоения профессиональных и общих компетенций; </w:t>
      </w:r>
    </w:p>
    <w:p w:rsidR="00CE0A7A" w:rsidRPr="00E3256C" w:rsidRDefault="00CE0A7A" w:rsidP="00CE0A7A">
      <w:pPr>
        <w:pStyle w:val="Default"/>
        <w:jc w:val="both"/>
      </w:pPr>
      <w:r w:rsidRPr="00E3256C">
        <w:t xml:space="preserve">возможность продолжения образования по данному направлению; </w:t>
      </w:r>
    </w:p>
    <w:p w:rsidR="00CE0A7A" w:rsidRPr="00E3256C" w:rsidRDefault="00CE0A7A" w:rsidP="00CE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56C">
        <w:rPr>
          <w:rFonts w:ascii="Times New Roman" w:hAnsi="Times New Roman" w:cs="Times New Roman"/>
          <w:sz w:val="24"/>
          <w:szCs w:val="24"/>
        </w:rPr>
        <w:t>обеспечение конкурентоспособности на рынке труда</w:t>
      </w:r>
    </w:p>
    <w:p w:rsidR="00E3256C" w:rsidRPr="00E3256C" w:rsidRDefault="00E3256C" w:rsidP="00E3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3256C" w:rsidRPr="00E3256C" w:rsidTr="00E3256C">
        <w:tc>
          <w:tcPr>
            <w:tcW w:w="3081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3256C" w:rsidRPr="00E3256C" w:rsidTr="00E3256C">
        <w:tc>
          <w:tcPr>
            <w:tcW w:w="3081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3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4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56C" w:rsidRPr="00E3256C" w:rsidTr="00E3256C">
        <w:tc>
          <w:tcPr>
            <w:tcW w:w="3081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56C" w:rsidRPr="00E3256C" w:rsidTr="00E3256C">
        <w:tc>
          <w:tcPr>
            <w:tcW w:w="3081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 w:rsidRPr="00E3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204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03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414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 xml:space="preserve">408 (в том числе на </w:t>
            </w:r>
            <w:r w:rsidRPr="00E3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новых дисциплин)</w:t>
            </w:r>
          </w:p>
        </w:tc>
      </w:tr>
      <w:tr w:rsidR="00E3256C" w:rsidRPr="00E3256C" w:rsidTr="00E3256C">
        <w:tc>
          <w:tcPr>
            <w:tcW w:w="3081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  <w:tc>
          <w:tcPr>
            <w:tcW w:w="204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033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414" w:type="dxa"/>
          </w:tcPr>
          <w:p w:rsidR="00E3256C" w:rsidRPr="00E3256C" w:rsidRDefault="00E3256C" w:rsidP="00E3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 xml:space="preserve">492 </w:t>
            </w:r>
          </w:p>
        </w:tc>
      </w:tr>
    </w:tbl>
    <w:p w:rsidR="00E7788B" w:rsidRPr="00E3256C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88B" w:rsidRPr="00E3256C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3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Порядок аттестации </w:t>
      </w:r>
      <w:proofErr w:type="gramStart"/>
      <w:r w:rsidRPr="00E3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C103E" w:rsidRPr="00E3256C" w:rsidRDefault="00E7788B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103E" w:rsidRPr="00E3256C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образовательной программы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="00CC103E" w:rsidRPr="00E3256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C103E" w:rsidRPr="00E3256C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CC103E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56C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E3256C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E3256C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B958AE" w:rsidRDefault="00B958AE" w:rsidP="00B95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3256C" w:rsidRPr="00E3256C" w:rsidRDefault="00E3256C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Выполнение курсовой работы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1.6 Государственная итоговая аттестация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</w:t>
      </w:r>
      <w:r w:rsidRPr="00E3256C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CC103E" w:rsidRPr="00E3256C" w:rsidRDefault="00CC103E" w:rsidP="00CC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7788B" w:rsidRPr="00E3256C" w:rsidRDefault="00E7788B" w:rsidP="00CC10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8D" w:rsidRPr="00E3256C" w:rsidRDefault="00E73B8D" w:rsidP="00E7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Кабинеты: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иностранного языка; (кабинет общеобразовательных дисциплин)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математики;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инженерной графики;</w:t>
      </w: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лабораторией информатики, информационно-коммуникативных технологий и физики)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электротехники и электроники;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технической механики;</w:t>
      </w: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256C">
        <w:rPr>
          <w:rFonts w:ascii="Times New Roman" w:hAnsi="Times New Roman" w:cs="Times New Roman"/>
          <w:sz w:val="24"/>
          <w:szCs w:val="24"/>
        </w:rPr>
        <w:t>кабинет технологии обогащения полезных ископаемых)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геологии;</w:t>
      </w:r>
      <w:r w:rsidRPr="00E3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256C">
        <w:rPr>
          <w:rFonts w:ascii="Times New Roman" w:hAnsi="Times New Roman" w:cs="Times New Roman"/>
          <w:sz w:val="24"/>
          <w:szCs w:val="24"/>
        </w:rPr>
        <w:t>кабинет технологии обогащения полезных ископаемых)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основ экономики; (кабинет гуманитарных и экономических дисциплин)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правовых основ профессиональной деятельности; (кабинет гуманитарных и экономических дисциплин)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технологии обогащения полезных ископаемых;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управления персоналом; </w:t>
      </w:r>
      <w:r w:rsidR="00E3256C" w:rsidRPr="00E325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совмещен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 xml:space="preserve"> с кабинетом технологии горных пород)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охраны труда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>совмещен с кабинетом технологии горных пород)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2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56C">
        <w:rPr>
          <w:rFonts w:ascii="Times New Roman" w:hAnsi="Times New Roman" w:cs="Times New Roman"/>
          <w:sz w:val="24"/>
          <w:szCs w:val="24"/>
        </w:rPr>
        <w:t>овмещен с кабинетом технологии горных пород)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процессов и аппаратов обогатительной фабрики;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автоматизации производства.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Мастерские: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lastRenderedPageBreak/>
        <w:t>слесарная; электротехническая.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1A708F" w:rsidRPr="00E3256C" w:rsidRDefault="001A708F" w:rsidP="001A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Залы: библиотека, читальный чал с выходом в сеть Интернет; </w:t>
      </w:r>
      <w:proofErr w:type="spellStart"/>
      <w:r w:rsidRPr="00E3256C">
        <w:rPr>
          <w:rFonts w:ascii="Times New Roman" w:hAnsi="Times New Roman" w:cs="Times New Roman"/>
          <w:sz w:val="24"/>
          <w:szCs w:val="24"/>
        </w:rPr>
        <w:t>конференцзал</w:t>
      </w:r>
      <w:proofErr w:type="spellEnd"/>
    </w:p>
    <w:p w:rsidR="001A708F" w:rsidRPr="00D72653" w:rsidRDefault="001A708F" w:rsidP="00E73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708F" w:rsidRPr="00D72653" w:rsidSect="002056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CD"/>
    <w:multiLevelType w:val="hybridMultilevel"/>
    <w:tmpl w:val="C0A4E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9C6419"/>
    <w:multiLevelType w:val="hybridMultilevel"/>
    <w:tmpl w:val="A9E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D91"/>
    <w:multiLevelType w:val="hybridMultilevel"/>
    <w:tmpl w:val="B88A3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E1FD0"/>
    <w:multiLevelType w:val="hybridMultilevel"/>
    <w:tmpl w:val="4FE80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9C2655"/>
    <w:multiLevelType w:val="hybridMultilevel"/>
    <w:tmpl w:val="63F08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CF0A03"/>
    <w:multiLevelType w:val="hybridMultilevel"/>
    <w:tmpl w:val="1C6250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671A9D"/>
    <w:multiLevelType w:val="hybridMultilevel"/>
    <w:tmpl w:val="6B52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B"/>
    <w:rsid w:val="0000702B"/>
    <w:rsid w:val="00023524"/>
    <w:rsid w:val="000308B1"/>
    <w:rsid w:val="000548C6"/>
    <w:rsid w:val="000944C9"/>
    <w:rsid w:val="000F27B1"/>
    <w:rsid w:val="00135230"/>
    <w:rsid w:val="00194B3B"/>
    <w:rsid w:val="001A708F"/>
    <w:rsid w:val="001C5612"/>
    <w:rsid w:val="0020568B"/>
    <w:rsid w:val="00244C05"/>
    <w:rsid w:val="002C4306"/>
    <w:rsid w:val="0030008D"/>
    <w:rsid w:val="00382940"/>
    <w:rsid w:val="003C4079"/>
    <w:rsid w:val="003F0C37"/>
    <w:rsid w:val="00416AB5"/>
    <w:rsid w:val="00482F39"/>
    <w:rsid w:val="004A240A"/>
    <w:rsid w:val="0051140F"/>
    <w:rsid w:val="005809C7"/>
    <w:rsid w:val="00587E43"/>
    <w:rsid w:val="005A758F"/>
    <w:rsid w:val="005F66CE"/>
    <w:rsid w:val="006053ED"/>
    <w:rsid w:val="0063743C"/>
    <w:rsid w:val="00654E0C"/>
    <w:rsid w:val="00660B1F"/>
    <w:rsid w:val="006A3B47"/>
    <w:rsid w:val="006C4320"/>
    <w:rsid w:val="006D0945"/>
    <w:rsid w:val="007402E9"/>
    <w:rsid w:val="00773F60"/>
    <w:rsid w:val="007B318B"/>
    <w:rsid w:val="007D172F"/>
    <w:rsid w:val="007D2318"/>
    <w:rsid w:val="00865714"/>
    <w:rsid w:val="00893B0F"/>
    <w:rsid w:val="008B5F07"/>
    <w:rsid w:val="008C73F5"/>
    <w:rsid w:val="008E7521"/>
    <w:rsid w:val="009070EB"/>
    <w:rsid w:val="00914E85"/>
    <w:rsid w:val="00976A5A"/>
    <w:rsid w:val="009D3B38"/>
    <w:rsid w:val="00A313FF"/>
    <w:rsid w:val="00A572A4"/>
    <w:rsid w:val="00A8211A"/>
    <w:rsid w:val="00AA39C2"/>
    <w:rsid w:val="00AB3831"/>
    <w:rsid w:val="00AB3E3A"/>
    <w:rsid w:val="00B02E3F"/>
    <w:rsid w:val="00B220A8"/>
    <w:rsid w:val="00B82240"/>
    <w:rsid w:val="00B82813"/>
    <w:rsid w:val="00B858E0"/>
    <w:rsid w:val="00B958AE"/>
    <w:rsid w:val="00C6215F"/>
    <w:rsid w:val="00C64354"/>
    <w:rsid w:val="00C76603"/>
    <w:rsid w:val="00CA45F9"/>
    <w:rsid w:val="00CB51D1"/>
    <w:rsid w:val="00CC103E"/>
    <w:rsid w:val="00CE0A7A"/>
    <w:rsid w:val="00CF4924"/>
    <w:rsid w:val="00CF653B"/>
    <w:rsid w:val="00D37628"/>
    <w:rsid w:val="00D53CCD"/>
    <w:rsid w:val="00D64352"/>
    <w:rsid w:val="00D655FD"/>
    <w:rsid w:val="00DD120C"/>
    <w:rsid w:val="00DE62C1"/>
    <w:rsid w:val="00DF0CB5"/>
    <w:rsid w:val="00E3256C"/>
    <w:rsid w:val="00E73B8D"/>
    <w:rsid w:val="00E7788B"/>
    <w:rsid w:val="00EB652B"/>
    <w:rsid w:val="00EC7734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0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0568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20568B"/>
  </w:style>
  <w:style w:type="character" w:customStyle="1" w:styleId="a7">
    <w:name w:val="Нижний колонтитул Знак"/>
    <w:basedOn w:val="a0"/>
    <w:link w:val="a8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0568B"/>
  </w:style>
  <w:style w:type="paragraph" w:styleId="a9">
    <w:name w:val="List Paragraph"/>
    <w:basedOn w:val="a"/>
    <w:uiPriority w:val="34"/>
    <w:qFormat/>
    <w:rsid w:val="0020568B"/>
    <w:pPr>
      <w:ind w:left="720"/>
      <w:contextualSpacing/>
    </w:pPr>
  </w:style>
  <w:style w:type="table" w:styleId="aa">
    <w:name w:val="Table Grid"/>
    <w:basedOn w:val="a1"/>
    <w:uiPriority w:val="59"/>
    <w:rsid w:val="0020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568B"/>
  </w:style>
  <w:style w:type="character" w:styleId="ab">
    <w:name w:val="footnote reference"/>
    <w:semiHidden/>
    <w:rsid w:val="0020568B"/>
    <w:rPr>
      <w:vertAlign w:val="superscript"/>
    </w:rPr>
  </w:style>
  <w:style w:type="character" w:styleId="ac">
    <w:name w:val="annotation reference"/>
    <w:semiHidden/>
    <w:rsid w:val="0020568B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5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0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0568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20568B"/>
  </w:style>
  <w:style w:type="character" w:customStyle="1" w:styleId="a7">
    <w:name w:val="Нижний колонтитул Знак"/>
    <w:basedOn w:val="a0"/>
    <w:link w:val="a8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0568B"/>
  </w:style>
  <w:style w:type="paragraph" w:styleId="a9">
    <w:name w:val="List Paragraph"/>
    <w:basedOn w:val="a"/>
    <w:uiPriority w:val="34"/>
    <w:qFormat/>
    <w:rsid w:val="0020568B"/>
    <w:pPr>
      <w:ind w:left="720"/>
      <w:contextualSpacing/>
    </w:pPr>
  </w:style>
  <w:style w:type="table" w:styleId="aa">
    <w:name w:val="Table Grid"/>
    <w:basedOn w:val="a1"/>
    <w:uiPriority w:val="59"/>
    <w:rsid w:val="0020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568B"/>
  </w:style>
  <w:style w:type="character" w:styleId="ab">
    <w:name w:val="footnote reference"/>
    <w:semiHidden/>
    <w:rsid w:val="0020568B"/>
    <w:rPr>
      <w:vertAlign w:val="superscript"/>
    </w:rPr>
  </w:style>
  <w:style w:type="character" w:styleId="ac">
    <w:name w:val="annotation reference"/>
    <w:semiHidden/>
    <w:rsid w:val="0020568B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5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8F43-004B-462D-93F4-58717236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27</cp:revision>
  <cp:lastPrinted>2017-03-07T03:47:00Z</cp:lastPrinted>
  <dcterms:created xsi:type="dcterms:W3CDTF">2018-05-07T05:19:00Z</dcterms:created>
  <dcterms:modified xsi:type="dcterms:W3CDTF">2019-02-28T04:40:00Z</dcterms:modified>
</cp:coreProperties>
</file>