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B2" w:rsidRDefault="00170FB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70FB2" w:rsidRDefault="00170FB2">
      <w:pPr>
        <w:pStyle w:val="ConsPlusNormal"/>
        <w:jc w:val="both"/>
        <w:outlineLvl w:val="0"/>
      </w:pPr>
    </w:p>
    <w:p w:rsidR="00170FB2" w:rsidRDefault="00170FB2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170FB2" w:rsidRDefault="00170FB2">
      <w:pPr>
        <w:pStyle w:val="ConsPlusTitle"/>
        <w:jc w:val="center"/>
      </w:pPr>
    </w:p>
    <w:p w:rsidR="00170FB2" w:rsidRDefault="00170FB2">
      <w:pPr>
        <w:pStyle w:val="ConsPlusTitle"/>
        <w:jc w:val="center"/>
      </w:pPr>
      <w:r>
        <w:t>РАСПОРЯЖЕНИЕ</w:t>
      </w:r>
    </w:p>
    <w:p w:rsidR="00170FB2" w:rsidRDefault="00170FB2">
      <w:pPr>
        <w:pStyle w:val="ConsPlusTitle"/>
        <w:jc w:val="center"/>
      </w:pPr>
      <w:r>
        <w:t>от 25 декабря 2019 г. N Р-145</w:t>
      </w:r>
    </w:p>
    <w:p w:rsidR="00170FB2" w:rsidRDefault="00170FB2">
      <w:pPr>
        <w:pStyle w:val="ConsPlusTitle"/>
        <w:jc w:val="center"/>
      </w:pPr>
    </w:p>
    <w:p w:rsidR="00170FB2" w:rsidRDefault="00170FB2">
      <w:pPr>
        <w:pStyle w:val="ConsPlusTitle"/>
        <w:jc w:val="center"/>
      </w:pPr>
      <w:r>
        <w:t>ОБ УТВЕРЖДЕНИИ МЕТОДОЛОГИИ</w:t>
      </w:r>
    </w:p>
    <w:p w:rsidR="00170FB2" w:rsidRDefault="00170FB2">
      <w:pPr>
        <w:pStyle w:val="ConsPlusTitle"/>
        <w:jc w:val="center"/>
      </w:pPr>
      <w:r>
        <w:t xml:space="preserve">(ЦЕЛЕВОЙ МОДЕЛИ) НАСТАВНИЧЕСТВА </w:t>
      </w:r>
      <w:proofErr w:type="gramStart"/>
      <w:r>
        <w:t>ОБУЧАЮЩИХСЯ</w:t>
      </w:r>
      <w:proofErr w:type="gramEnd"/>
    </w:p>
    <w:p w:rsidR="00170FB2" w:rsidRDefault="00170FB2">
      <w:pPr>
        <w:pStyle w:val="ConsPlusTitle"/>
        <w:jc w:val="center"/>
      </w:pPr>
      <w:r>
        <w:t xml:space="preserve">ДЛЯ ОРГАНИЗАЦИЙ, ОСУЩЕСТВЛЯЮЩИХ </w:t>
      </w:r>
      <w:proofErr w:type="gramStart"/>
      <w:r>
        <w:t>ОБРАЗОВАТЕЛЬНУЮ</w:t>
      </w:r>
      <w:proofErr w:type="gramEnd"/>
    </w:p>
    <w:p w:rsidR="00170FB2" w:rsidRDefault="00170FB2">
      <w:pPr>
        <w:pStyle w:val="ConsPlusTitle"/>
        <w:jc w:val="center"/>
      </w:pPr>
      <w:r>
        <w:t xml:space="preserve">ДЕЯТЕЛЬНОСТЬ ПО </w:t>
      </w:r>
      <w:proofErr w:type="gramStart"/>
      <w:r>
        <w:t>ОБЩЕОБРАЗОВАТЕЛЬНЫМ</w:t>
      </w:r>
      <w:proofErr w:type="gramEnd"/>
      <w:r>
        <w:t>, ДОПОЛНИТЕЛЬНЫМ</w:t>
      </w:r>
    </w:p>
    <w:p w:rsidR="00170FB2" w:rsidRDefault="00170FB2">
      <w:pPr>
        <w:pStyle w:val="ConsPlusTitle"/>
        <w:jc w:val="center"/>
      </w:pPr>
      <w:r>
        <w:t>ОБЩЕОБРАЗОВАТЕЛЬНЫМ И ПРОГРАММАМ СРЕДНЕГО ПРОФЕССИОНАЛЬНОГО</w:t>
      </w:r>
    </w:p>
    <w:p w:rsidR="00170FB2" w:rsidRDefault="00170FB2">
      <w:pPr>
        <w:pStyle w:val="ConsPlusTitle"/>
        <w:jc w:val="center"/>
      </w:pPr>
      <w:r>
        <w:t>ОБРАЗОВАНИЯ, В ТОМ ЧИСЛЕ С ПРИМЕНЕНИЕМ ЛУЧШИХ ПРАКТИК</w:t>
      </w:r>
    </w:p>
    <w:p w:rsidR="00170FB2" w:rsidRDefault="00170FB2">
      <w:pPr>
        <w:pStyle w:val="ConsPlusTitle"/>
        <w:jc w:val="center"/>
      </w:pPr>
      <w:r>
        <w:t xml:space="preserve">ОБМЕНА ОПЫТОМ МЕЖДУ </w:t>
      </w:r>
      <w:proofErr w:type="gramStart"/>
      <w:r>
        <w:t>ОБУЧАЮЩИМИСЯ</w:t>
      </w:r>
      <w:proofErr w:type="gramEnd"/>
    </w:p>
    <w:p w:rsidR="00170FB2" w:rsidRDefault="00170FB2">
      <w:pPr>
        <w:pStyle w:val="ConsPlusNormal"/>
        <w:jc w:val="both"/>
      </w:pPr>
    </w:p>
    <w:p w:rsidR="00170FB2" w:rsidRDefault="00170FB2">
      <w:pPr>
        <w:pStyle w:val="ConsPlusNormal"/>
        <w:ind w:firstLine="540"/>
        <w:jc w:val="both"/>
      </w:pPr>
      <w:proofErr w:type="gramStart"/>
      <w:r>
        <w:t xml:space="preserve">В целях достижения сквозного результата "Разработана 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 федеральных проектов </w:t>
      </w:r>
      <w:hyperlink r:id="rId6" w:history="1">
        <w:r>
          <w:rPr>
            <w:color w:val="0000FF"/>
          </w:rPr>
          <w:t>"Современная школа"</w:t>
        </w:r>
      </w:hyperlink>
      <w:r>
        <w:t xml:space="preserve"> (Е01.01.04), </w:t>
      </w:r>
      <w:hyperlink r:id="rId7" w:history="1">
        <w:r>
          <w:rPr>
            <w:color w:val="0000FF"/>
          </w:rPr>
          <w:t>"Успех каждого ребенка"</w:t>
        </w:r>
      </w:hyperlink>
      <w:r>
        <w:t xml:space="preserve"> (Е02.02.06) и "</w:t>
      </w:r>
      <w:hyperlink r:id="rId8" w:history="1">
        <w:r>
          <w:rPr>
            <w:color w:val="0000FF"/>
          </w:rPr>
          <w:t>Молодые профессионалы</w:t>
        </w:r>
      </w:hyperlink>
      <w:r>
        <w:t xml:space="preserve"> (Повышение конкурентоспособности профессионального образования)" (Е06.06.06) национального проекта "Образование":</w:t>
      </w:r>
      <w:proofErr w:type="gramEnd"/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методологию</w:t>
        </w:r>
      </w:hyperlink>
      <w:r>
        <w:t xml:space="preserve"> (целевую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>
        <w:t>обучающимися</w:t>
      </w:r>
      <w:proofErr w:type="gramEnd"/>
      <w:r>
        <w:t>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государственное управление в сфере образования, организовать внедрение </w:t>
      </w:r>
      <w:hyperlink w:anchor="P34" w:history="1">
        <w:r>
          <w:rPr>
            <w:color w:val="0000FF"/>
          </w:rPr>
          <w:t>методологии</w:t>
        </w:r>
      </w:hyperlink>
      <w:r>
        <w:t xml:space="preserve">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>
        <w:t>обучающимися</w:t>
      </w:r>
      <w:proofErr w:type="gramEnd"/>
      <w:r>
        <w:t>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170FB2" w:rsidRDefault="00170FB2">
      <w:pPr>
        <w:pStyle w:val="ConsPlusNormal"/>
        <w:jc w:val="both"/>
      </w:pPr>
    </w:p>
    <w:p w:rsidR="00170FB2" w:rsidRDefault="00170FB2">
      <w:pPr>
        <w:pStyle w:val="ConsPlusNormal"/>
        <w:jc w:val="right"/>
      </w:pPr>
      <w:r>
        <w:t>Заместитель Министра</w:t>
      </w:r>
    </w:p>
    <w:p w:rsidR="00170FB2" w:rsidRDefault="00170FB2">
      <w:pPr>
        <w:pStyle w:val="ConsPlusNormal"/>
        <w:jc w:val="right"/>
      </w:pPr>
      <w:r>
        <w:t>М.Н.РАКОВА</w:t>
      </w:r>
    </w:p>
    <w:p w:rsidR="00170FB2" w:rsidRDefault="00170FB2">
      <w:pPr>
        <w:pStyle w:val="ConsPlusNormal"/>
        <w:jc w:val="both"/>
      </w:pPr>
    </w:p>
    <w:p w:rsidR="00170FB2" w:rsidRDefault="00170FB2">
      <w:pPr>
        <w:pStyle w:val="ConsPlusNormal"/>
        <w:jc w:val="both"/>
      </w:pPr>
    </w:p>
    <w:p w:rsidR="00170FB2" w:rsidRDefault="00170FB2">
      <w:pPr>
        <w:pStyle w:val="ConsPlusNormal"/>
        <w:jc w:val="both"/>
      </w:pPr>
    </w:p>
    <w:p w:rsidR="00170FB2" w:rsidRDefault="00170FB2">
      <w:pPr>
        <w:pStyle w:val="ConsPlusNormal"/>
        <w:jc w:val="both"/>
      </w:pPr>
    </w:p>
    <w:p w:rsidR="00170FB2" w:rsidRDefault="00170FB2">
      <w:pPr>
        <w:pStyle w:val="ConsPlusNormal"/>
        <w:jc w:val="both"/>
      </w:pPr>
    </w:p>
    <w:p w:rsidR="00170FB2" w:rsidRDefault="00170FB2">
      <w:pPr>
        <w:pStyle w:val="ConsPlusNormal"/>
        <w:jc w:val="right"/>
        <w:outlineLvl w:val="0"/>
      </w:pPr>
      <w:r>
        <w:t>Приложение</w:t>
      </w:r>
    </w:p>
    <w:p w:rsidR="00170FB2" w:rsidRDefault="00170FB2">
      <w:pPr>
        <w:pStyle w:val="ConsPlusNormal"/>
        <w:jc w:val="both"/>
      </w:pPr>
    </w:p>
    <w:p w:rsidR="00170FB2" w:rsidRDefault="00170FB2">
      <w:pPr>
        <w:pStyle w:val="ConsPlusNormal"/>
        <w:jc w:val="right"/>
      </w:pPr>
      <w:r>
        <w:t>Утверждена</w:t>
      </w:r>
    </w:p>
    <w:p w:rsidR="00170FB2" w:rsidRDefault="00170FB2">
      <w:pPr>
        <w:pStyle w:val="ConsPlusNormal"/>
        <w:jc w:val="right"/>
      </w:pPr>
      <w:r>
        <w:t>распоряжением</w:t>
      </w:r>
    </w:p>
    <w:p w:rsidR="00170FB2" w:rsidRDefault="00170FB2">
      <w:pPr>
        <w:pStyle w:val="ConsPlusNormal"/>
        <w:jc w:val="right"/>
      </w:pPr>
      <w:r>
        <w:t>Министерства просвещения</w:t>
      </w:r>
    </w:p>
    <w:p w:rsidR="00170FB2" w:rsidRDefault="00170FB2">
      <w:pPr>
        <w:pStyle w:val="ConsPlusNormal"/>
        <w:jc w:val="right"/>
      </w:pPr>
      <w:r>
        <w:t>Российской Федерации</w:t>
      </w:r>
    </w:p>
    <w:p w:rsidR="00170FB2" w:rsidRDefault="00170FB2">
      <w:pPr>
        <w:pStyle w:val="ConsPlusNormal"/>
        <w:jc w:val="right"/>
      </w:pPr>
      <w:r>
        <w:t>от 25 декабря 2019 г. N Р-145</w:t>
      </w:r>
    </w:p>
    <w:p w:rsidR="00170FB2" w:rsidRDefault="00170FB2">
      <w:pPr>
        <w:pStyle w:val="ConsPlusNormal"/>
        <w:jc w:val="both"/>
      </w:pPr>
    </w:p>
    <w:p w:rsidR="00170FB2" w:rsidRDefault="00170FB2">
      <w:pPr>
        <w:pStyle w:val="ConsPlusTitle"/>
        <w:jc w:val="center"/>
      </w:pPr>
      <w:bookmarkStart w:id="0" w:name="P34"/>
      <w:bookmarkEnd w:id="0"/>
      <w:r>
        <w:t>МЕТОДОЛОГИЯ</w:t>
      </w:r>
    </w:p>
    <w:p w:rsidR="00170FB2" w:rsidRDefault="00170FB2">
      <w:pPr>
        <w:pStyle w:val="ConsPlusTitle"/>
        <w:jc w:val="center"/>
      </w:pPr>
      <w:r>
        <w:lastRenderedPageBreak/>
        <w:t xml:space="preserve">(ЦЕЛЕВАЯ МОДЕЛЬ) НАСТАВНИЧЕСТВА </w:t>
      </w:r>
      <w:proofErr w:type="gramStart"/>
      <w:r>
        <w:t>ОБУЧАЮЩИХСЯ</w:t>
      </w:r>
      <w:proofErr w:type="gramEnd"/>
    </w:p>
    <w:p w:rsidR="00170FB2" w:rsidRDefault="00170FB2">
      <w:pPr>
        <w:pStyle w:val="ConsPlusTitle"/>
        <w:jc w:val="center"/>
      </w:pPr>
      <w:r>
        <w:t xml:space="preserve">ДЛЯ ОРГАНИЗАЦИЙ, ОСУЩЕСТВЛЯЮЩИХ </w:t>
      </w:r>
      <w:proofErr w:type="gramStart"/>
      <w:r>
        <w:t>ОБРАЗОВАТЕЛЬНУЮ</w:t>
      </w:r>
      <w:proofErr w:type="gramEnd"/>
    </w:p>
    <w:p w:rsidR="00170FB2" w:rsidRDefault="00170FB2">
      <w:pPr>
        <w:pStyle w:val="ConsPlusTitle"/>
        <w:jc w:val="center"/>
      </w:pPr>
      <w:r>
        <w:t xml:space="preserve">ДЕЯТЕЛЬНОСТЬ ПО </w:t>
      </w:r>
      <w:proofErr w:type="gramStart"/>
      <w:r>
        <w:t>ОБЩЕОБРАЗОВАТЕЛЬНЫМ</w:t>
      </w:r>
      <w:proofErr w:type="gramEnd"/>
      <w:r>
        <w:t>, ДОПОЛНИТЕЛЬНЫМ</w:t>
      </w:r>
    </w:p>
    <w:p w:rsidR="00170FB2" w:rsidRDefault="00170FB2">
      <w:pPr>
        <w:pStyle w:val="ConsPlusTitle"/>
        <w:jc w:val="center"/>
      </w:pPr>
      <w:r>
        <w:t>ОБЩЕОБРАЗОВАТЕЛЬНЫМ И ПРОГРАММАМ СРЕДНЕГО ПРОФЕССИОНАЛЬНОГО</w:t>
      </w:r>
    </w:p>
    <w:p w:rsidR="00170FB2" w:rsidRDefault="00170FB2">
      <w:pPr>
        <w:pStyle w:val="ConsPlusTitle"/>
        <w:jc w:val="center"/>
      </w:pPr>
      <w:r>
        <w:t>ОБРАЗОВАНИЯ, В ТОМ ЧИСЛЕ С ПРИМЕНЕНИЕМ ЛУЧШИХ ПРАКТИК</w:t>
      </w:r>
    </w:p>
    <w:p w:rsidR="00170FB2" w:rsidRDefault="00170FB2">
      <w:pPr>
        <w:pStyle w:val="ConsPlusTitle"/>
        <w:jc w:val="center"/>
      </w:pPr>
      <w:r>
        <w:t xml:space="preserve">ОБМЕНА ОПЫТОМ МЕЖДУ </w:t>
      </w:r>
      <w:proofErr w:type="gramStart"/>
      <w:r>
        <w:t>ОБУЧАЮЩИМИСЯ</w:t>
      </w:r>
      <w:proofErr w:type="gramEnd"/>
    </w:p>
    <w:p w:rsidR="00170FB2" w:rsidRDefault="00170FB2">
      <w:pPr>
        <w:pStyle w:val="ConsPlusNormal"/>
        <w:jc w:val="both"/>
      </w:pPr>
    </w:p>
    <w:p w:rsidR="00170FB2" w:rsidRDefault="00170FB2">
      <w:pPr>
        <w:pStyle w:val="ConsPlusTitle"/>
        <w:jc w:val="center"/>
        <w:outlineLvl w:val="1"/>
      </w:pPr>
      <w:r>
        <w:t>1. Общие положения</w:t>
      </w:r>
    </w:p>
    <w:p w:rsidR="00170FB2" w:rsidRDefault="00170FB2">
      <w:pPr>
        <w:pStyle w:val="ConsPlusNormal"/>
        <w:jc w:val="both"/>
      </w:pPr>
    </w:p>
    <w:p w:rsidR="00170FB2" w:rsidRDefault="00170FB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Настоящая Целевая модель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 (далее - Целевая модель наставничества), в том числе с применением лучших практик обмена опытом между обучающимися, разработана в целях достижения результатов федеральных проектов </w:t>
      </w:r>
      <w:hyperlink r:id="rId9" w:history="1">
        <w:r>
          <w:rPr>
            <w:color w:val="0000FF"/>
          </w:rPr>
          <w:t>"Современная школа"</w:t>
        </w:r>
      </w:hyperlink>
      <w:r>
        <w:t>, "</w:t>
      </w:r>
      <w:hyperlink r:id="rId10" w:history="1">
        <w:r>
          <w:rPr>
            <w:color w:val="0000FF"/>
          </w:rPr>
          <w:t>Молодые профессионалы</w:t>
        </w:r>
      </w:hyperlink>
      <w:r>
        <w:t xml:space="preserve"> (Повышение конкурентоспособности профессионального образования)" и </w:t>
      </w:r>
      <w:hyperlink r:id="rId11" w:history="1">
        <w:r>
          <w:rPr>
            <w:color w:val="0000FF"/>
          </w:rPr>
          <w:t>"Успех каждого ребенка"</w:t>
        </w:r>
      </w:hyperlink>
      <w:r>
        <w:t xml:space="preserve"> национального проекта "Образование" и регулирует отношения</w:t>
      </w:r>
      <w:proofErr w:type="gramEnd"/>
      <w:r>
        <w:t xml:space="preserve">, связанные с функционированием и развитием программ наставничества в субъектах Российской Федерации для организаций, осуществляющих образовательную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образования, в том числе с применением лучших практик обмена опытом между </w:t>
      </w:r>
      <w:proofErr w:type="gramStart"/>
      <w:r>
        <w:t>обучающимися</w:t>
      </w:r>
      <w:proofErr w:type="gramEnd"/>
      <w:r>
        <w:t>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- педагоги) разных уровней образования и молодых специалистов, проживающих на территории Российской Федерации.</w:t>
      </w:r>
      <w:proofErr w:type="gramEnd"/>
    </w:p>
    <w:p w:rsidR="00170FB2" w:rsidRDefault="00170FB2">
      <w:pPr>
        <w:pStyle w:val="ConsPlusNormal"/>
        <w:spacing w:before="220"/>
        <w:ind w:firstLine="540"/>
        <w:jc w:val="both"/>
      </w:pPr>
      <w:r>
        <w:t>1.3. Задачи внедрения целевой модели наставничества:</w:t>
      </w:r>
    </w:p>
    <w:p w:rsidR="00170FB2" w:rsidRDefault="00170FB2">
      <w:pPr>
        <w:pStyle w:val="ConsPlusNormal"/>
        <w:spacing w:before="220"/>
        <w:ind w:firstLine="540"/>
        <w:jc w:val="both"/>
      </w:pPr>
      <w:proofErr w:type="gramStart"/>
      <w:r>
        <w:t>улучшение показателей организаций, осуществляющих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 (далее - образовательные организации) в образовательной, социокультурной, спортивной и других сферах;</w:t>
      </w:r>
      <w:proofErr w:type="gramEnd"/>
    </w:p>
    <w:p w:rsidR="00170FB2" w:rsidRDefault="00170FB2">
      <w:pPr>
        <w:pStyle w:val="ConsPlusNormal"/>
        <w:spacing w:before="220"/>
        <w:ind w:firstLine="540"/>
        <w:jc w:val="both"/>
      </w:pPr>
      <w: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формирование открытого и эффективного сообщества вокруг образовательной организации, способного на комплексную поддержку ее деятельности, в </w:t>
      </w:r>
      <w:proofErr w:type="gramStart"/>
      <w:r>
        <w:t>котором</w:t>
      </w:r>
      <w:proofErr w:type="gramEnd"/>
      <w:r>
        <w:t xml:space="preserve"> выстроены доверительные и </w:t>
      </w:r>
      <w:r>
        <w:lastRenderedPageBreak/>
        <w:t>партнерские отношения.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1.4. Целевая модель наставничества представляет собой совокупность структурных компонентов и механизмов, обеспечивающих ее внедрение в образовательных организациях и достижение поставленных результатов. С точки зрения наставничества как процесса целевая модель описывает этапы реализации программ наставничества и роли участников, организующих эти этапы.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1.5. Внедрение целевой модели наставничества осуществляется субъектами Российской Федерации на основе методических рекомендаций Ведомственного проектного офиса национального проекта "Образование" (далее - ведомственный проектный офис).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1.6. Ведомственный проектный офис осуществляет методическое сопровождение внедрения настоящей целевой модели, в том числе путем направления методических рекомендаций.</w:t>
      </w:r>
    </w:p>
    <w:p w:rsidR="00170FB2" w:rsidRDefault="00170FB2">
      <w:pPr>
        <w:pStyle w:val="ConsPlusNormal"/>
        <w:jc w:val="both"/>
      </w:pPr>
    </w:p>
    <w:p w:rsidR="00170FB2" w:rsidRDefault="00170FB2">
      <w:pPr>
        <w:pStyle w:val="ConsPlusTitle"/>
        <w:ind w:firstLine="540"/>
        <w:jc w:val="both"/>
        <w:outlineLvl w:val="1"/>
      </w:pPr>
      <w:r>
        <w:t>2. Термины и определения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>
        <w:t>наставляемый</w:t>
      </w:r>
      <w:proofErr w:type="gramEnd"/>
      <w:r>
        <w:t xml:space="preserve"> может быть определен термином "обучающийся".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Куратор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Целевая модель 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Методология наставничества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Активное слушание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</w:t>
      </w:r>
      <w:r>
        <w:lastRenderedPageBreak/>
        <w:t>наставляемым.</w:t>
      </w:r>
    </w:p>
    <w:p w:rsidR="00170FB2" w:rsidRDefault="00170FB2">
      <w:pPr>
        <w:pStyle w:val="ConsPlusNormal"/>
        <w:spacing w:before="220"/>
        <w:ind w:firstLine="540"/>
        <w:jc w:val="both"/>
      </w:pPr>
      <w:proofErr w:type="spellStart"/>
      <w:r>
        <w:t>Буллинг</w:t>
      </w:r>
      <w:proofErr w:type="spellEnd"/>
      <w: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 сетях.</w:t>
      </w:r>
    </w:p>
    <w:p w:rsidR="00170FB2" w:rsidRDefault="00170FB2">
      <w:pPr>
        <w:pStyle w:val="ConsPlusNormal"/>
        <w:spacing w:before="220"/>
        <w:ind w:firstLine="540"/>
        <w:jc w:val="both"/>
      </w:pPr>
      <w:proofErr w:type="spellStart"/>
      <w:r>
        <w:t>Метакомпетенции</w:t>
      </w:r>
      <w:proofErr w:type="spellEnd"/>
      <w: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170FB2" w:rsidRDefault="00170FB2">
      <w:pPr>
        <w:pStyle w:val="ConsPlusNormal"/>
        <w:spacing w:before="220"/>
        <w:ind w:firstLine="540"/>
        <w:jc w:val="both"/>
      </w:pPr>
      <w:proofErr w:type="spellStart"/>
      <w:r>
        <w:t>Тьютор</w:t>
      </w:r>
      <w:proofErr w:type="spellEnd"/>
      <w:r>
        <w:t xml:space="preserve"> - специалист в области педагогики, который помогает </w:t>
      </w:r>
      <w:proofErr w:type="gramStart"/>
      <w:r>
        <w:t>обучающемуся</w:t>
      </w:r>
      <w:proofErr w:type="gramEnd"/>
      <w:r>
        <w:t xml:space="preserve"> определиться с индивидуальным образовательным маршрутом.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Благодарный выпускник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>, организует стажировки и т.д.).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170FB2" w:rsidRDefault="00170FB2">
      <w:pPr>
        <w:pStyle w:val="ConsPlusNormal"/>
        <w:spacing w:before="220"/>
        <w:ind w:firstLine="540"/>
        <w:jc w:val="both"/>
      </w:pPr>
      <w:proofErr w:type="spellStart"/>
      <w:r>
        <w:t>Эндаумент</w:t>
      </w:r>
      <w:proofErr w:type="spellEnd"/>
      <w:r>
        <w:t xml:space="preserve"> - фонд целевого капитала в некоммерческих организациях, обычно в сфере образования или культуры, который формируется за счет добровольных пожертвований. В частности, в школьный фонд целевого капитала пожертвования могут приходить от благодарных выпускников школы, желающих поддержать ее развитие. Средства фонда передаются в доверительное управление управляющей компании для получения дохода, который можно использовать на финансирование уставной деятельности, например, на инновационные образовательные программы, научные исследования, стимулирование педагогов и обучающихся.</w:t>
      </w:r>
    </w:p>
    <w:p w:rsidR="00170FB2" w:rsidRDefault="00170FB2">
      <w:pPr>
        <w:pStyle w:val="ConsPlusNormal"/>
        <w:jc w:val="both"/>
      </w:pPr>
    </w:p>
    <w:p w:rsidR="00170FB2" w:rsidRDefault="00170FB2">
      <w:pPr>
        <w:pStyle w:val="ConsPlusTitle"/>
        <w:ind w:firstLine="540"/>
        <w:jc w:val="both"/>
        <w:outlineLvl w:val="1"/>
      </w:pPr>
      <w:r>
        <w:t>3. Ожидаемые результаты внедрения целевой модели наставничества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3.1. Планируемые результаты внедрения целевой модели наставничества: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измеримое улучшение показателей обучающихся в образовательной, культурной, спортивной и других сферах;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рост числа </w:t>
      </w:r>
      <w:proofErr w:type="gramStart"/>
      <w:r>
        <w:t>обучающихся</w:t>
      </w:r>
      <w:proofErr w:type="gramEnd"/>
      <w:r>
        <w:t xml:space="preserve">, прошедших </w:t>
      </w:r>
      <w:proofErr w:type="spellStart"/>
      <w:r>
        <w:t>профориентационные</w:t>
      </w:r>
      <w:proofErr w:type="spellEnd"/>
      <w:r>
        <w:t xml:space="preserve"> мероприятия;</w:t>
      </w:r>
    </w:p>
    <w:p w:rsidR="00170FB2" w:rsidRDefault="00170FB2">
      <w:pPr>
        <w:pStyle w:val="ConsPlusNormal"/>
        <w:spacing w:before="220"/>
        <w:ind w:firstLine="540"/>
        <w:jc w:val="both"/>
      </w:pPr>
      <w:proofErr w:type="gramStart"/>
      <w: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партнерства;</w:t>
      </w:r>
      <w:proofErr w:type="gramEnd"/>
    </w:p>
    <w:p w:rsidR="00170FB2" w:rsidRDefault="00170FB2">
      <w:pPr>
        <w:pStyle w:val="ConsPlusNormal"/>
        <w:spacing w:before="220"/>
        <w:ind w:firstLine="540"/>
        <w:jc w:val="both"/>
      </w:pPr>
      <w:r>
        <w:t>практическая реализация концепции построения индивидуальных образовательных траекторий;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измеримое улучшение личных показателей эффективности педагогов и сотрудников региональных предприятий и организаций, связанное с развитием гибких навыков и </w:t>
      </w:r>
      <w:proofErr w:type="spellStart"/>
      <w:r>
        <w:t>метакомпетенций</w:t>
      </w:r>
      <w:proofErr w:type="spellEnd"/>
      <w:r>
        <w:t>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привлечение дополнительных ресурсов и сторонних инвестиций в развитие инновационных образовательных и социальных программ субъекта Российской Федерации и конкретных образовательных организаций благодаря формированию устойчивых связей между образовательными организациями и бизнесом, потенциальному формированию </w:t>
      </w:r>
      <w:proofErr w:type="spellStart"/>
      <w:r>
        <w:t>эндаумента</w:t>
      </w:r>
      <w:proofErr w:type="spellEnd"/>
      <w:r>
        <w:t xml:space="preserve"> и сообщества благодарных выпускников.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lastRenderedPageBreak/>
        <w:t xml:space="preserve">3.2. Внедрение целевой модели наставничества может </w:t>
      </w:r>
      <w:proofErr w:type="gramStart"/>
      <w:r>
        <w:t>повлиять</w:t>
      </w:r>
      <w:proofErr w:type="gramEnd"/>
      <w:r>
        <w:t xml:space="preserve"> в том числе на решение следующих проблем обучающегося общеобразовательной организации: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низкую мотивацию к учебе и саморазвитию, неудовлетворительную успеваемость;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отсутствие осознанной позиции, необходимой для выбора образовательной траектории и будущей профессиональной реализации;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невозможность качественной самореализации в рамках школьной программы;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отсутствие условий для формирования активной гражданской позиции;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низкую информированность о перспективах самостоятельного выбора векторов творческого развития, карьерных и иных возможностей;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кризис самоидентификации, разрушение или низкий уровень </w:t>
      </w:r>
      <w:proofErr w:type="spellStart"/>
      <w:r>
        <w:t>сформированности</w:t>
      </w:r>
      <w:proofErr w:type="spellEnd"/>
      <w:r>
        <w:t xml:space="preserve"> ценностных и жизненных позиций и ориентиров;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конфликтность, неразвитые коммуникативные навыки, затрудняющие горизонтальное и вертикальное социальное движение;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отсутствие условий для формирования </w:t>
      </w:r>
      <w:proofErr w:type="spellStart"/>
      <w:r>
        <w:t>метапредметных</w:t>
      </w:r>
      <w:proofErr w:type="spellEnd"/>
      <w:r>
        <w:t xml:space="preserve"> навыков и </w:t>
      </w:r>
      <w:proofErr w:type="spellStart"/>
      <w:r>
        <w:t>метакомпетенций</w:t>
      </w:r>
      <w:proofErr w:type="spellEnd"/>
      <w:r>
        <w:t>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высокий порог вхождения в образовательные программы, программы развития </w:t>
      </w:r>
      <w:proofErr w:type="gramStart"/>
      <w:r>
        <w:t>талантливых</w:t>
      </w:r>
      <w:proofErr w:type="gramEnd"/>
      <w:r>
        <w:t xml:space="preserve"> обучающихся;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падение эмоциональной устойчивости, психологические кризисы, связанные с общей трудностью подросткового периода на фоне отсутствия четких перспектив будущего и регулярной качественной поддержки;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проблемы адаптации в (новом) учебном коллективе: психологические, организационные и социальные.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3.3. Внедрение целевой модели наставничества может </w:t>
      </w:r>
      <w:proofErr w:type="gramStart"/>
      <w:r>
        <w:t>повлиять</w:t>
      </w:r>
      <w:proofErr w:type="gramEnd"/>
      <w:r>
        <w:t xml:space="preserve"> в том числе на решение следующих проблем обучающегося профессиональной образовательной организации (далее - студента):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низкую мотивацию к учебе, неудовлетворительные образовательные результаты, дисциплинарные затруднения;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низкую информированность о карьерных и образовательных возможностях, отсутствие осознанного выбора пути будущего профессионального развития;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трудности, связанные с невозможностью эффективно совмещать получение образования и рабочую деятельность по специальности;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низкий уровень общей культуры, неразвитость </w:t>
      </w:r>
      <w:proofErr w:type="spellStart"/>
      <w:r>
        <w:t>метакомпетенций</w:t>
      </w:r>
      <w:proofErr w:type="spellEnd"/>
      <w:r>
        <w:t>, отсутствие или неразвитость навыков целеполагания, планирования и самореализации, пессимистичные ожидания от будущего и самого общества;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низкий уровень общепрофессиональных и профессиональных компетенций, как следствие - </w:t>
      </w:r>
      <w:proofErr w:type="spellStart"/>
      <w:r>
        <w:t>невостребованность</w:t>
      </w:r>
      <w:proofErr w:type="spellEnd"/>
      <w:r>
        <w:t xml:space="preserve"> на рынке;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отсутствие мотивации и возможностей для участия в программах поддержки обучающихся и выпускников;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невозможность реализовать свой предпринимательский или профессиональный потенциал </w:t>
      </w:r>
      <w:r>
        <w:lastRenderedPageBreak/>
        <w:t>в силу отсутствия опыта и ресурсов.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3.4. Внедрение целевой модели наставничества может </w:t>
      </w:r>
      <w:proofErr w:type="gramStart"/>
      <w:r>
        <w:t>повлиять</w:t>
      </w:r>
      <w:proofErr w:type="gramEnd"/>
      <w:r>
        <w:t xml:space="preserve"> в том числе на решение следующих проблем региона: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трудовую неустроенность молодых специалистов и выпускников, влекущую за собой падение уровня жизни, рост неблагополучия и миграцию ценных трудовых кадров в иные регионы;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ценностную дезориентацию </w:t>
      </w:r>
      <w:proofErr w:type="gramStart"/>
      <w:r>
        <w:t>обучающихся</w:t>
      </w:r>
      <w:proofErr w:type="gramEnd"/>
      <w:r>
        <w:t xml:space="preserve">, приводящую как к </w:t>
      </w:r>
      <w:proofErr w:type="spellStart"/>
      <w:r>
        <w:t>девиантному</w:t>
      </w:r>
      <w:proofErr w:type="spellEnd"/>
      <w:r>
        <w:t>, так и к нейтральному в плане гражданской активности поведению;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отсутствие налаженной связи между разными уровнями образования в регионе;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устаревание рабочих резервов, приводящее к инерционному движению региональных предприятий, сокращению числа инициатив и инноваций, падению эффективности работы.</w:t>
      </w:r>
    </w:p>
    <w:p w:rsidR="00170FB2" w:rsidRDefault="00170FB2">
      <w:pPr>
        <w:pStyle w:val="ConsPlusNormal"/>
        <w:jc w:val="both"/>
      </w:pPr>
    </w:p>
    <w:p w:rsidR="00170FB2" w:rsidRDefault="00170FB2">
      <w:pPr>
        <w:pStyle w:val="ConsPlusTitle"/>
        <w:ind w:firstLine="540"/>
        <w:jc w:val="both"/>
        <w:outlineLvl w:val="1"/>
      </w:pPr>
      <w:r>
        <w:t>4. Структура управления реализацией целевой модели наставничества в деятельности образовательных организаций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4.1. В структуру управления процессом внедрения и реализации целевой модели наставничества в образовательные организации входят: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орган исполнительной власти субъекта Российской Федерации (или местного самоуправления), осуществляющий государственное управление в сфере образования (далее - орган власти);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Региональный наставнический центр - организация (структурное подразделение организации), наделенная органом власти функциями по организационному, методическому и аналитическому сопровождению и мониторингу программ наставничества на территории соответствующего субъекта Российской Федерации;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общеобразовательные организации, профессиональные образовательные организации, организации дополнительного образования, осуществляющие реализацию программ наставничества;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организации и индивидуальные предприниматели, осуществляющие образовательную деятельность по дополнительным общеобразовательным программам;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промышленные и иные предприятия, организации любой формы собственности, индивидуальные предприниматели, функционирующие на территории региона, имеющие или планирующие реализовать партнерские соглашения с организациями, осуществляющими образовательную деятельность.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Функции Регионального наставнического центра решением органа власти могут быть переданы уже существующей организации (подразделению организации), осуществляющей образовательную деятельность, региональному центру </w:t>
      </w:r>
      <w:proofErr w:type="spellStart"/>
      <w:r>
        <w:t>WorldSkills</w:t>
      </w:r>
      <w:proofErr w:type="spellEnd"/>
      <w:r>
        <w:t>, некоммерческой организации, организациям любой формы собственности, чья деятельность прямо связана с образовательной или воспитательной работой.</w:t>
      </w:r>
      <w:proofErr w:type="gramEnd"/>
    </w:p>
    <w:p w:rsidR="00170FB2" w:rsidRDefault="00170FB2">
      <w:pPr>
        <w:pStyle w:val="ConsPlusNormal"/>
        <w:spacing w:before="220"/>
        <w:ind w:firstLine="540"/>
        <w:jc w:val="both"/>
      </w:pPr>
      <w:r>
        <w:t>4.3. Высшее должностное лицо субъекта Российской Федерации при участии во внедрении целевой модели наставничества на территории соответствующего субъекта Российской Федерации: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принимает решение о внедрении целевой модели наставничества;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lastRenderedPageBreak/>
        <w:t>при необходимости обеспечивает организацию инфраструктуры и материально-техническое обеспечение программ наставничества.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4.4. Орган исполнительной власти субъекта Российской Федерации, осуществляющий государственное управление в сфере образования, при внедрении целевой модели наставничества на территории соответствующего субъекта Российской Федерации: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осуществляет координацию внедрения целевой модели наставничества;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обеспечивает реализацию мероприятий по внедрению целевой модели наставничества;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координирует работу Регионального наставнического центра;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обеспечивает развитие материально-технической базы, инфраструктуры и кадрового потенциала организаций, осуществляющих деятельность по реализации программ наставничества;</w:t>
      </w:r>
    </w:p>
    <w:p w:rsidR="00170FB2" w:rsidRDefault="00170FB2">
      <w:pPr>
        <w:pStyle w:val="ConsPlusNormal"/>
        <w:spacing w:before="220"/>
        <w:ind w:firstLine="540"/>
        <w:jc w:val="both"/>
      </w:pPr>
      <w:proofErr w:type="gramStart"/>
      <w:r>
        <w:t>реализует меры по обеспечению доступности программ наставничества для обучающихся с особыми образовательными потребностями и индивидуальными возможностями, в том числе для обучающихся с ограниченными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(оставшихся без попечения родителей).</w:t>
      </w:r>
      <w:proofErr w:type="gramEnd"/>
    </w:p>
    <w:p w:rsidR="00170FB2" w:rsidRDefault="00170FB2">
      <w:pPr>
        <w:pStyle w:val="ConsPlusNormal"/>
        <w:spacing w:before="220"/>
        <w:ind w:firstLine="540"/>
        <w:jc w:val="both"/>
      </w:pPr>
      <w:r>
        <w:t>4.5. Задачи Регионального наставнического центра: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организационная, методическая, экспертно-консультационная, информационная и просветительская поддержка участников внедрения целевой модели наставничества;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выработка предложений по совместному использованию инфраструктуры в целях внедрения целевой модели наставничества;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соответствующего субъекта Российской Федерации, а также лучших практик других субъектов Российской Федерации;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разработка предложений по совершенствованию региональной системы внедрения целевой модели наставничества;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содействие привлечению к реализации наставнических программ образовательных организаций; предприятий и организаций региона;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сбор </w:t>
      </w:r>
      <w:proofErr w:type="gramStart"/>
      <w:r>
        <w:t>результатов мониторинга реализации программ наставничества</w:t>
      </w:r>
      <w:proofErr w:type="gramEnd"/>
      <w:r>
        <w:t xml:space="preserve"> в образовательных организациях;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обеспечение реализации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4.6. Орган исполнительной власти муниципального образования, осуществляющий управление в сфере образования, при участии во внедрении целевой модели наставничества на территории соответствующего муниципального образования: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согласовывает дорожные карты внедрения целевой модели наставничества, разработанные </w:t>
      </w:r>
      <w:r>
        <w:lastRenderedPageBreak/>
        <w:t>образовательными организациями, осуществляющими внедрение целевой модели;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контролирует реализацию мероприятий по внедрению целевой модели наставничества;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обеспечивает развитие инфраструктурных, материально-технических ресурсов и кадрового потенциала муниципальных организаций, осуществляющих образовательную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содействует привлечению к реализации программ наставничества образовательных организаций; предприятий и организаций региона;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4.7. Функции образовательных организаций, осуществляющих внедрение целевой модели наставничества: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разработка и реализация мероприятий дорожной карты внедрения целевой модели;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реализация программ наставничества;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реализация кадровой политики, в том числе: привлечение, обучение и </w:t>
      </w:r>
      <w:proofErr w:type="gramStart"/>
      <w:r>
        <w:t>контроль за</w:t>
      </w:r>
      <w:proofErr w:type="gramEnd"/>
      <w:r>
        <w:t xml:space="preserve"> деятельностью наставников, принимающих участие в программе наставничества;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назначение куратора внедрения целевой модели наставничества в образовательной организации;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инфраструктурное и материально-техническое обеспечение реализации программ наставничества;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внесение в формы федерального статистического наблюдения данных о количестве участников программ наставничества и предоставление этих форм в Министерство просвещения Российской Федерации;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проведение внутреннего мониторинга реализации и эффективности программ наставничества (в ведении образовательных организаций);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обеспечение формирования баз данных программ наставничества и лучших практик;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4.8. Куратор назначается решением руководителя образовательной организации, планирующей внедрить целевую модель наставничества. Куратором может стать представитель образовательной организации, представитель организации - партнера программы, представитель региональной некоммерческой 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К зоне ответственности куратора относятся следующие задачи: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сбор и работа с базой наставников и наставляемых;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lastRenderedPageBreak/>
        <w:t>организация обучения наставников (в том числе привлечение экспертов для проведения обучения);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контроль процедуры внедрения целевой модели наставничества;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контроль проведения программ наставничества;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участие в оценке вовлеченности </w:t>
      </w:r>
      <w:proofErr w:type="gramStart"/>
      <w:r>
        <w:t>обучающихся</w:t>
      </w:r>
      <w:proofErr w:type="gramEnd"/>
      <w:r>
        <w:t xml:space="preserve"> в различные формы наставничества;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решение организационных вопросов, возникающих в процессе реализации модели;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мониторинг реализации и получение обратной связи от участников программы и иных причастных к программе лиц.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При создании </w:t>
      </w:r>
      <w:proofErr w:type="gramStart"/>
      <w:r>
        <w:t>условий необходимого финансирования куратора программ наставничества</w:t>
      </w:r>
      <w:proofErr w:type="gramEnd"/>
      <w:r>
        <w:t xml:space="preserve"> могут быть использованы ресурсы образовательных организаций региона, ресурсы партнеров программы, предприятий - участников программы, региональных некоммерческих организаций, коммерческих организаций, осуществляющих реализацию программ корпоративной социальной ответственности, и индивидуальных предпринимателей - филантропов.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4.9. Оценка вовлеченности </w:t>
      </w:r>
      <w:proofErr w:type="gramStart"/>
      <w:r>
        <w:t>обучающихся</w:t>
      </w:r>
      <w:proofErr w:type="gramEnd"/>
      <w:r>
        <w:t xml:space="preserve"> в различные формы наставничества.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Сбор первичных данных для проведения оценки вовлеченности обучающихся в различные формы сопровождения и наставничества через персонифицированный учет участников программ наставничества в образовательной организации осуществляет куратор.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Для оценки вовлеченности участие в программе наставничества понимается как прохождение участником полного цикла программы наставничества. Соответствующая отметка проставляется куратором в базе </w:t>
      </w:r>
      <w:proofErr w:type="gramStart"/>
      <w:r>
        <w:t>наставляемых</w:t>
      </w:r>
      <w:proofErr w:type="gramEnd"/>
      <w:r>
        <w:t xml:space="preserve"> (примерная форма базы наставляемых представлена в </w:t>
      </w:r>
      <w:hyperlink w:anchor="P379" w:history="1">
        <w:r>
          <w:rPr>
            <w:color w:val="0000FF"/>
          </w:rPr>
          <w:t>Приложении</w:t>
        </w:r>
      </w:hyperlink>
      <w:r>
        <w:t>).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В срок не позднее 20 января года, следующего за </w:t>
      </w:r>
      <w:proofErr w:type="gramStart"/>
      <w:r>
        <w:t>отчетным</w:t>
      </w:r>
      <w:proofErr w:type="gramEnd"/>
      <w:r>
        <w:t>, куратор вносит информацию о количестве участников программ наставничества в соответствующую форму федерального статистического наблюдения и направляет данную форму в Министерство просвещения Российской Федерации.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Министерство просвещения Российской Федерации на основании полученных данных проводит оценку доли обучающихся, вовлеченных в различные формы сопровождения и наставничества (отношение общего количества участников программ наставничества к общему числу обучающихся).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4.10. Комплект примерных нормативных документов, необходимых для внедрения целевой модели наставничества в субъектах Российской Федерации.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Процесс реализации целевой модели наставничества предполагает разработку ряда документов и издание ряда распорядительных актов.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4.10.1. Распорядительный акт органа исполнительной власти субъекта Российской Федерации, осуществляющего государственное управление в сфере образования, включающий: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основания для внедрения целевой модели наставничества в субъекте Российской Федерации;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сроки внедрения целевой модели наставничества в субъекте Российской Федерации;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сроки </w:t>
      </w:r>
      <w:proofErr w:type="gramStart"/>
      <w:r>
        <w:t>проведения мониторинга эффективности программ наставничества</w:t>
      </w:r>
      <w:proofErr w:type="gramEnd"/>
      <w:r>
        <w:t xml:space="preserve"> в субъекте Российской Федерации;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lastRenderedPageBreak/>
        <w:t>назначение ответственного должностного лица за внедрение целевой модели наставничества в субъекте Российской Федерации;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перечень образовательных организаций, внедряющих целевую модель наставничества в субъекте Российской Федерации </w:t>
      </w:r>
      <w:hyperlink w:anchor="P377" w:history="1">
        <w:r>
          <w:rPr>
            <w:color w:val="0000FF"/>
          </w:rPr>
          <w:t>(Приложение)</w:t>
        </w:r>
      </w:hyperlink>
      <w:r>
        <w:t>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планируемые результаты внедрения целевой модели наставничества в субъекте Российской Федерации </w:t>
      </w:r>
      <w:hyperlink w:anchor="P377" w:history="1">
        <w:r>
          <w:rPr>
            <w:color w:val="0000FF"/>
          </w:rPr>
          <w:t>(Приложение)</w:t>
        </w:r>
      </w:hyperlink>
      <w:r>
        <w:t>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4.10.2. Распорядительный акт образовательной организации о внедрении целевой модели наставничества на уровне организации, включающий: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основания для внедрения целевой модели наставничества в образовательной организации;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сроки внедрения целевой модели наставничества в образовательной организации;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назначение ответственных за внедрение и реализацию целевой модели наставничества в образовательной организации с описанием обязанностей;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назначение </w:t>
      </w:r>
      <w:proofErr w:type="gramStart"/>
      <w:r>
        <w:t>ответственных</w:t>
      </w:r>
      <w:proofErr w:type="gramEnd"/>
      <w:r>
        <w:t xml:space="preserve"> за материально-техническое обеспечение программы наставничества в организации;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сроки </w:t>
      </w:r>
      <w:proofErr w:type="gramStart"/>
      <w:r>
        <w:t>проведения мониторинга эффективности программ наставничества</w:t>
      </w:r>
      <w:proofErr w:type="gramEnd"/>
      <w:r>
        <w:t>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планируемые результаты внедрения целевой модели наставничества в образовательной организации </w:t>
      </w:r>
      <w:hyperlink w:anchor="P377" w:history="1">
        <w:r>
          <w:rPr>
            <w:color w:val="0000FF"/>
          </w:rPr>
          <w:t>(Приложение)</w:t>
        </w:r>
      </w:hyperlink>
      <w:r>
        <w:t>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утверждение положения о программе наставничества в образовательной организации </w:t>
      </w:r>
      <w:hyperlink w:anchor="P377" w:history="1">
        <w:r>
          <w:rPr>
            <w:color w:val="0000FF"/>
          </w:rPr>
          <w:t>(Приложение)</w:t>
        </w:r>
      </w:hyperlink>
      <w:r>
        <w:t>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утверждение дорожной карты внедрения целевой модели наставничества </w:t>
      </w:r>
      <w:hyperlink w:anchor="P377" w:history="1">
        <w:r>
          <w:rPr>
            <w:color w:val="0000FF"/>
          </w:rPr>
          <w:t>(Приложение)</w:t>
        </w:r>
      </w:hyperlink>
      <w:r>
        <w:t>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4.10.3. Положение о программе наставничества в образовательной организации является организационной основой для внедрения целевой модели наставничества, определяет формы программы наставничества, зоны ответственности, права и обязанности участников, а также функции субъектов программы наставничества.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Типовое положение о программе наставничества может включать в себя: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описание форм программ наставничества;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права, обязанности и задачи наставников, наставляемых, кураторов и законных </w:t>
      </w:r>
      <w:proofErr w:type="gramStart"/>
      <w:r>
        <w:t>представителей</w:t>
      </w:r>
      <w:proofErr w:type="gramEnd"/>
      <w:r>
        <w:t xml:space="preserve"> наставляемых в случае, если участник программы несовершеннолетний;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требования, выдвигаемые к наставникам, изъявляющим желание принять участие в программе;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процедуры отбора и обучения наставников;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процесс формирования пар и групп из наставника и наставляемого (наставляемых);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процесс закрепления наставнических пар;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формы и сроки отчетности наставника и куратора о процессе реализации программы наставничества;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формы и условия поощрения наставника;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lastRenderedPageBreak/>
        <w:t>критерии эффективности работы наставника;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условия публикации результатов программы наставничества на сайте образовательной организации и организаций-партнеров;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форма соглашения между наставником и наставляемым, а также законными представителями наставляемого в случае, если участник программы несовершеннолетний;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формы согласий на обработку персональных данных от участников наставнической программы или их законных представителей в случае, если участники несовершеннолетние.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4.10.4. Дорожная карта внедрения целевой модели наставничества включает в себя следующую информацию (примерная форма дорожной карты представлена в </w:t>
      </w:r>
      <w:hyperlink w:anchor="P472" w:history="1">
        <w:r>
          <w:rPr>
            <w:color w:val="0000FF"/>
          </w:rPr>
          <w:t>Приложении</w:t>
        </w:r>
      </w:hyperlink>
      <w:r>
        <w:t>):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сроки реализации этапов программ наставничества;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мероприятия по информированию педагогического и родительского сообществ о проводимых мероприятиях по реализации программ наставничества;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мероприятия по привлечению наставников к реализации программ наставничества.</w:t>
      </w:r>
    </w:p>
    <w:p w:rsidR="00170FB2" w:rsidRDefault="00170FB2">
      <w:pPr>
        <w:pStyle w:val="ConsPlusNormal"/>
        <w:jc w:val="both"/>
      </w:pPr>
    </w:p>
    <w:p w:rsidR="00170FB2" w:rsidRDefault="00170FB2">
      <w:pPr>
        <w:pStyle w:val="ConsPlusTitle"/>
        <w:ind w:firstLine="540"/>
        <w:jc w:val="both"/>
        <w:outlineLvl w:val="1"/>
      </w:pPr>
      <w:r>
        <w:t>5. Механизмы мотивации и поощрения наставников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5.1. К числу лучших мотивирующих наставника факторов можно отнести поддержку системы наставничества на общественном, муниципальном и государственном </w:t>
      </w:r>
      <w:proofErr w:type="gramStart"/>
      <w:r>
        <w:t>уровнях</w:t>
      </w:r>
      <w:proofErr w:type="gramEnd"/>
      <w: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Важно популяризировать роль наставника среди образовательных и общественных организаций; сообществ выпускников школ, профессиональных образовательных организаций, образовательных организаций высшего образования, детских домов; компаний-партнеров; ассоциаций психологов и психотерапевтов; волонтерских и благотворительных организаций; социальных сетей и т.п.; рассказывать о преимуществах роли наставника: возможностях личностного и социального роста, получения новых знаний и навыков.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5.2. В целях популяризации роли наставника можно рекомендовать следующие меры: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организацию и проведение фестивалей, форумов, конференций наставников на муниципальном, региональном и федеральном уровнях;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проведение конкурсов профессионального мастерства "Наставник года", "Лучшая пара "Наставник+" и т.д.;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поддержку системы наставничества через СМИ, создание специальной рубрики в социальных сетях или интернет-издании, например, "Наши наставники": истории о внедрении программы наставничества, о ее результатах, успешные истории взаимодействия наставника и наставляемого; интервью с известными людьми о том, кто был их наставником, почему это важно для них и т.д.);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участие руководителей всех уровней в программах наставничества;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организацию сообще</w:t>
      </w:r>
      <w:proofErr w:type="gramStart"/>
      <w:r>
        <w:t>ств дл</w:t>
      </w:r>
      <w:proofErr w:type="gramEnd"/>
      <w:r>
        <w:t>я наставников с возможностью быстрого оповещения о новых интересных проектах, мероприятиях, разработках и т.д.;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проведение фотосессий с выпуском открыток, плакатов, календарей, постеров "Наши наставники", которые распространяются среди образовательных организаций, компаний, учреждений социальной сферы и т.д.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lastRenderedPageBreak/>
        <w:t>Общественное признание позволяет наставникам ощутить собственную востребованность, значимость и полезность не только для отдельно взятых людей, но для общества, региона, в котором они живут. Публичное признание значимости работы наставников для образовательной организации, компании, региона в целом, повышение их авторитета в коллективе будет способствовать расширению пула наставников.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5.3. Возможные нематериальные (моральные) формы поощрений наставников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Поощрение наставников по результатам участия в ежегодном конкурсе (премии) на лучшего наставника муниципалитета (региона). Кандидатуры претендентов предоставляются образовательными организациями в органы управления образованием. Порядок выбора лучшего наставника из числа представленных кандидатур утверждается приказом органа управления образованием субъекта Российской Федерации; наставник, признанный лучшим, может быть награжден (удостоен):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почетной грамотой;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почетного звания "Лучший наставник";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нагрудным знаком наставника;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иные.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Также могут </w:t>
      </w:r>
      <w:proofErr w:type="gramStart"/>
      <w:r>
        <w:t>применятся</w:t>
      </w:r>
      <w:proofErr w:type="gramEnd"/>
      <w:r>
        <w:t xml:space="preserve"> в целях поощрения: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благодарственные письма родителям наставников из числа обучающихся;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размещение фотографий лучших наставников на Доске почета образовательной организации, организации (предприятия), предоставляющих наставника для участия в программе;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предоставление наставникам возможности принимать участие в формировании предложений, касающихся развития организации; рекомендации при трудоустройстве;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образовательное стимулирование (привлечение к участию в образовательных программах, семинарах, тренингах и иных мероприятиях подобного рода);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нематериальное поощрение на рабочем месте: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получение дополнительных дней к отпуску;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расширенная медицинская страховка;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иные льготы и преимущества, предусмотренные в организации, в которой работает наставник.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5.4. Создание системы нематериальной мотивации в виде иерархии наставников может повысить лояльность участников и являться дополнительной мотивацией как формат общественного признания и поощрения.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Основными элементами иерархической системы являются: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достижения: визуальное (материальное) выражение результата (медаль, поощрение, определенные очки). Достижения и награды рассматриваются наставником как признаки его заслуг, социального положения, символ причастности и большому проекту;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глобальное значение: мотивацию наставников увеличивает вера в успех программы наставничества, в создание новой и масштабной системы;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lastRenderedPageBreak/>
        <w:t>рейтинги и иерархия (персональная и групповая). Персональные рейтинги наставников публикуются для того, чтобы каждый участник программы мог видеть свой и чужие текущие уровни развития. Групповые рейтинги команд (наставник и наставляемый или наставник и группа наставляемых) публикуются на стендах образовательной организации, ее информационных порталах, на информационных порталах муниципальных методических центров по наставничеству для дополнительной мотивации всех участников программ.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5.5. В организации также могут быть предусмотрены различные виды материальных поощрений наставников, в том числе надбавка к заработной плате. В данном случае соответствующие изменения вносятся во внутренние документы организации, регламентирующие порядок оплаты труда и материального поощрения работников.</w:t>
      </w:r>
    </w:p>
    <w:p w:rsidR="00170FB2" w:rsidRDefault="00170FB2">
      <w:pPr>
        <w:pStyle w:val="ConsPlusNormal"/>
        <w:jc w:val="both"/>
      </w:pPr>
    </w:p>
    <w:p w:rsidR="00170FB2" w:rsidRDefault="00170FB2">
      <w:pPr>
        <w:pStyle w:val="ConsPlusTitle"/>
        <w:ind w:firstLine="540"/>
        <w:jc w:val="both"/>
        <w:outlineLvl w:val="1"/>
      </w:pPr>
      <w:r>
        <w:t>6. Мониторинг и оценка результатов реализации программы наставничества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6.1.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170FB2" w:rsidRDefault="00170FB2">
      <w:pPr>
        <w:pStyle w:val="ConsPlusNormal"/>
        <w:spacing w:before="220"/>
        <w:ind w:firstLine="540"/>
        <w:jc w:val="both"/>
      </w:pPr>
      <w:proofErr w:type="gramStart"/>
      <w: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170FB2" w:rsidRDefault="00170FB2">
      <w:pPr>
        <w:pStyle w:val="ConsPlusNormal"/>
        <w:spacing w:before="220"/>
        <w:ind w:firstLine="540"/>
        <w:jc w:val="both"/>
      </w:pPr>
      <w:r>
        <w:t>Мониторинг программы наставничества состоит из двух основных этапов: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1) оценка </w:t>
      </w:r>
      <w:proofErr w:type="gramStart"/>
      <w:r>
        <w:t>качества процесса реализации программы наставничества</w:t>
      </w:r>
      <w:proofErr w:type="gramEnd"/>
      <w:r>
        <w:t>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2) оценка мотивационно-личностного, </w:t>
      </w:r>
      <w:proofErr w:type="spellStart"/>
      <w:r>
        <w:t>компетентностного</w:t>
      </w:r>
      <w:proofErr w:type="spellEnd"/>
      <w:r>
        <w:t>, профессионального роста участников, динамика образовательных результатов.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6.2. Этап 1. Мониторинг и оценка </w:t>
      </w:r>
      <w:proofErr w:type="gramStart"/>
      <w:r>
        <w:t>качества процесса реализации программы наставничества</w:t>
      </w:r>
      <w:proofErr w:type="gramEnd"/>
      <w:r>
        <w:t>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 - наставляемый". Мониторинг </w:t>
      </w:r>
      <w:proofErr w:type="gramStart"/>
      <w:r>
        <w:t>помогает</w:t>
      </w:r>
      <w:proofErr w:type="gramEnd"/>
      <w:r>
        <w:t xml:space="preserve">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Мониторинг процесса реализации программ наставничества направлен на две ключевые цели: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1) оценка качества реализуемой программы наставничества;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170FB2" w:rsidRDefault="00170FB2">
      <w:pPr>
        <w:pStyle w:val="ConsPlusNormal"/>
        <w:spacing w:before="220"/>
        <w:ind w:firstLine="540"/>
        <w:jc w:val="both"/>
      </w:pPr>
      <w:proofErr w:type="gramStart"/>
      <w:r>
        <w:t>Среди задач, решаемых с помощью мониторинга, можно выделить сбор и анализ обратной связи от участников и кураторов (метод анкетирования), обоснование требований к процессу реализации программы наставничества, к личности наставника; контроль хода программы наставничества; описание особенностей взаимодействия наставника и наставляемого (группы наставляемых); определение условий эффективной программы наставничества; контроль показателей социального и профессионального благополучия;</w:t>
      </w:r>
      <w:proofErr w:type="gramEnd"/>
      <w:r>
        <w:t xml:space="preserve"> анализ динамики качественных и </w:t>
      </w:r>
      <w:r>
        <w:lastRenderedPageBreak/>
        <w:t>количественных изменений отслеживаемых показателей.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По результатам опроса в рамках первого этапа мониторинга будет предоставлен SWOT-анализ (таблица 1) реализуемой программы наставничества.</w:t>
      </w:r>
    </w:p>
    <w:p w:rsidR="00170FB2" w:rsidRDefault="00170FB2">
      <w:pPr>
        <w:pStyle w:val="ConsPlusNormal"/>
        <w:jc w:val="both"/>
      </w:pPr>
    </w:p>
    <w:p w:rsidR="00170FB2" w:rsidRDefault="00170FB2">
      <w:pPr>
        <w:pStyle w:val="ConsPlusNormal"/>
        <w:jc w:val="both"/>
        <w:outlineLvl w:val="2"/>
      </w:pPr>
      <w:r>
        <w:t>Таблица 1</w:t>
      </w:r>
    </w:p>
    <w:p w:rsidR="00170FB2" w:rsidRDefault="00170F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948"/>
        <w:gridCol w:w="3231"/>
      </w:tblGrid>
      <w:tr w:rsidR="00170FB2">
        <w:tc>
          <w:tcPr>
            <w:tcW w:w="2891" w:type="dxa"/>
          </w:tcPr>
          <w:p w:rsidR="00170FB2" w:rsidRDefault="00170FB2">
            <w:pPr>
              <w:pStyle w:val="ConsPlusNormal"/>
              <w:jc w:val="center"/>
            </w:pPr>
            <w:r>
              <w:t>Факторы SWOT</w:t>
            </w:r>
          </w:p>
        </w:tc>
        <w:tc>
          <w:tcPr>
            <w:tcW w:w="2948" w:type="dxa"/>
          </w:tcPr>
          <w:p w:rsidR="00170FB2" w:rsidRDefault="00170FB2">
            <w:pPr>
              <w:pStyle w:val="ConsPlusNormal"/>
              <w:jc w:val="center"/>
            </w:pPr>
            <w:r>
              <w:t>Позитивные</w:t>
            </w:r>
          </w:p>
        </w:tc>
        <w:tc>
          <w:tcPr>
            <w:tcW w:w="3231" w:type="dxa"/>
          </w:tcPr>
          <w:p w:rsidR="00170FB2" w:rsidRDefault="00170FB2">
            <w:pPr>
              <w:pStyle w:val="ConsPlusNormal"/>
              <w:jc w:val="center"/>
            </w:pPr>
            <w:r>
              <w:t>Негативные</w:t>
            </w:r>
          </w:p>
        </w:tc>
      </w:tr>
      <w:tr w:rsidR="00170FB2">
        <w:tc>
          <w:tcPr>
            <w:tcW w:w="2891" w:type="dxa"/>
          </w:tcPr>
          <w:p w:rsidR="00170FB2" w:rsidRDefault="00170FB2">
            <w:pPr>
              <w:pStyle w:val="ConsPlusNormal"/>
            </w:pPr>
            <w:r>
              <w:t>Внутренние</w:t>
            </w:r>
          </w:p>
        </w:tc>
        <w:tc>
          <w:tcPr>
            <w:tcW w:w="2948" w:type="dxa"/>
          </w:tcPr>
          <w:p w:rsidR="00170FB2" w:rsidRDefault="00170FB2">
            <w:pPr>
              <w:pStyle w:val="ConsPlusNormal"/>
            </w:pPr>
            <w:r>
              <w:t>Сильные стороны</w:t>
            </w:r>
          </w:p>
        </w:tc>
        <w:tc>
          <w:tcPr>
            <w:tcW w:w="3231" w:type="dxa"/>
          </w:tcPr>
          <w:p w:rsidR="00170FB2" w:rsidRDefault="00170FB2">
            <w:pPr>
              <w:pStyle w:val="ConsPlusNormal"/>
            </w:pPr>
            <w:r>
              <w:t>Слабые стороны</w:t>
            </w:r>
          </w:p>
        </w:tc>
      </w:tr>
      <w:tr w:rsidR="00170FB2">
        <w:tc>
          <w:tcPr>
            <w:tcW w:w="2891" w:type="dxa"/>
          </w:tcPr>
          <w:p w:rsidR="00170FB2" w:rsidRDefault="00170FB2">
            <w:pPr>
              <w:pStyle w:val="ConsPlusNormal"/>
            </w:pPr>
            <w:r>
              <w:t>Внешние</w:t>
            </w:r>
          </w:p>
        </w:tc>
        <w:tc>
          <w:tcPr>
            <w:tcW w:w="2948" w:type="dxa"/>
          </w:tcPr>
          <w:p w:rsidR="00170FB2" w:rsidRDefault="00170FB2">
            <w:pPr>
              <w:pStyle w:val="ConsPlusNormal"/>
            </w:pPr>
            <w:r>
              <w:t>Возможности</w:t>
            </w:r>
          </w:p>
        </w:tc>
        <w:tc>
          <w:tcPr>
            <w:tcW w:w="3231" w:type="dxa"/>
          </w:tcPr>
          <w:p w:rsidR="00170FB2" w:rsidRDefault="00170FB2">
            <w:pPr>
              <w:pStyle w:val="ConsPlusNormal"/>
            </w:pPr>
            <w:r>
              <w:t>Угрозы</w:t>
            </w:r>
          </w:p>
        </w:tc>
      </w:tr>
    </w:tbl>
    <w:p w:rsidR="00170FB2" w:rsidRDefault="00170FB2">
      <w:pPr>
        <w:pStyle w:val="ConsPlusNormal"/>
        <w:jc w:val="both"/>
      </w:pPr>
    </w:p>
    <w:p w:rsidR="00170FB2" w:rsidRDefault="00170FB2">
      <w:pPr>
        <w:pStyle w:val="ConsPlusNormal"/>
        <w:ind w:firstLine="540"/>
        <w:jc w:val="both"/>
      </w:pPr>
      <w:r>
        <w:t>Сбор данных для построения SWOT-анализа осуществляется посредством анкеты (Раздел 2.3 Приложения 2 к методическим рекомендациям ведомственного проектного офиса по внедрению целевой модели наставничества). Анкета содержит открытые вопросы, закрытые вопросы, вопросы с оценочным параметром. Анкета учитывает особенности требований ко всем пяти формам наставничества и является уникальной для каждой формы.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SWOT-анализ рекомендуется проводить куратору программы.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Для оценки </w:t>
      </w:r>
      <w:proofErr w:type="gramStart"/>
      <w:r>
        <w:t>соответствия условий организации программы наставничества</w:t>
      </w:r>
      <w:proofErr w:type="gramEnd"/>
      <w: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 (Раздел 2.4 Приложения 2 к методическим рекомендациям ведомственного проектного офиса по внедрению целевой модели наставничества).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Среди оцениваемых параметров: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сильные и слабые стороны программы наставничества;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возможности программы наставничества и угрозы ее реализации;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процент посещения </w:t>
      </w:r>
      <w:proofErr w:type="gramStart"/>
      <w:r>
        <w:t>обучающимися</w:t>
      </w:r>
      <w:proofErr w:type="gramEnd"/>
      <w:r>
        <w:t xml:space="preserve"> творческих кружков, спортивных секций и внеурочных объединений;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процент </w:t>
      </w:r>
      <w:proofErr w:type="gramStart"/>
      <w:r>
        <w:t>обучающихся</w:t>
      </w:r>
      <w:proofErr w:type="gramEnd"/>
      <w:r>
        <w:t xml:space="preserve">, прошедших профессиональные и </w:t>
      </w:r>
      <w:proofErr w:type="spellStart"/>
      <w:r>
        <w:t>компетентностные</w:t>
      </w:r>
      <w:proofErr w:type="spellEnd"/>
      <w:r>
        <w:t xml:space="preserve"> тесты;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количество выпускников средней школы или профессиональной образовательной организации, планирующих трудоустройство или уже трудоустроенных на предприятия в субъекте Российской Федерации;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количество обучающихся, планирующих стать наставниками в будущем и/или присоединиться к сообществу благодарных выпускников;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число обучающихся из числа студентов, поступающих на охваченные программой наставничества профессии и специальности среднего профессионального образования;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lastRenderedPageBreak/>
        <w:t>количество собственных профессиональных работ: статей, исследований, методических практик молодого специалиста, выступавшего в роли наставляемого.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6.3. Этап 2. Мониторинг и оценка влияния программ на всех участников.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Второй этап мониторинга позволяет оценить: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мотивационно-личностный и профессиональный рост участников программы наставничества;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развитие </w:t>
      </w:r>
      <w:proofErr w:type="spellStart"/>
      <w:r>
        <w:t>метапредметных</w:t>
      </w:r>
      <w:proofErr w:type="spellEnd"/>
      <w:r>
        <w:t xml:space="preserve"> навыков и уровня </w:t>
      </w:r>
      <w:proofErr w:type="gramStart"/>
      <w:r>
        <w:t>вовлеченности</w:t>
      </w:r>
      <w:proofErr w:type="gramEnd"/>
      <w:r>
        <w:t xml:space="preserve"> обучающихся в образовательную деятельность;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качество изменений в освоении </w:t>
      </w:r>
      <w:proofErr w:type="gramStart"/>
      <w:r>
        <w:t>обучающимися</w:t>
      </w:r>
      <w:proofErr w:type="gramEnd"/>
      <w:r>
        <w:t xml:space="preserve"> образовательных программ;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 - наставляемый".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 (Разделы 2.1 и 2.2 Приложения 2 к методическим рекомендациям ведомственного проектного офиса по внедрению целевой модели наставничества).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Соответственно, все зависимые от воздействия программы наставничества параметры фиксируются дважды.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Мониторинг влияния программ наставничества на всех участников направлен на три ключевые цели.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1. Глубокая оценка изучаемых личностных характеристик участников программы.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2. Оценка динамики характеристик образовательного процесса (оценка качества изменений в освоении </w:t>
      </w:r>
      <w:proofErr w:type="gramStart"/>
      <w:r>
        <w:t>обучающимися</w:t>
      </w:r>
      <w:proofErr w:type="gramEnd"/>
      <w:r>
        <w:t xml:space="preserve"> образовательных программ).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3. Анализ и необходимая корректировка сформированных стратегий образования пар "наставник - наставляемый".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Среди задач, решаемых на данном этапе мониторинга, можно выделить: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определение условий эффективной программы наставничества;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сравнение характеристик образовательного процесса на "входе" и "выходе" реализуемой </w:t>
      </w:r>
      <w:r>
        <w:lastRenderedPageBreak/>
        <w:t>программы;</w:t>
      </w:r>
    </w:p>
    <w:p w:rsidR="00170FB2" w:rsidRDefault="00170FB2">
      <w:pPr>
        <w:pStyle w:val="ConsPlusNormal"/>
        <w:spacing w:before="220"/>
        <w:ind w:firstLine="540"/>
        <w:jc w:val="both"/>
      </w:pPr>
      <w:proofErr w:type="gramStart"/>
      <w: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  <w:proofErr w:type="gramEnd"/>
    </w:p>
    <w:p w:rsidR="00170FB2" w:rsidRDefault="00170FB2">
      <w:pPr>
        <w:pStyle w:val="ConsPlusNormal"/>
        <w:spacing w:before="220"/>
        <w:ind w:firstLine="540"/>
        <w:jc w:val="both"/>
      </w:pPr>
      <w:r>
        <w:t>Результатом данного этапа мониторинга являются оценка и динамика: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развития гибких навыков участников программы;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уровня </w:t>
      </w:r>
      <w:proofErr w:type="spellStart"/>
      <w:r>
        <w:t>мотивированности</w:t>
      </w:r>
      <w:proofErr w:type="spellEnd"/>
      <w:r>
        <w:t xml:space="preserve"> и осознанности участников в вопросах саморазвития и профессионального образования;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качества изменений в освоении </w:t>
      </w:r>
      <w:proofErr w:type="gramStart"/>
      <w:r>
        <w:t>обучающимися</w:t>
      </w:r>
      <w:proofErr w:type="gramEnd"/>
      <w:r>
        <w:t xml:space="preserve"> образовательных программ;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степени включенности </w:t>
      </w:r>
      <w:proofErr w:type="gramStart"/>
      <w:r>
        <w:t>обучающихся</w:t>
      </w:r>
      <w:proofErr w:type="gramEnd"/>
      <w:r>
        <w:t xml:space="preserve"> в образовательные процессы организации;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Все это позволит увидеть, как повлияла программа наставничества на участников, и спрогнозировать их дальнейшее развитие. Другим результатом мониторинга будут данные анализа и внесенные на их основании корректировки в рекомендации наиболее целесообразного объединения участников в пары "наставник - наставляемый".</w:t>
      </w:r>
    </w:p>
    <w:p w:rsidR="00170FB2" w:rsidRDefault="00170FB2">
      <w:pPr>
        <w:pStyle w:val="ConsPlusNormal"/>
        <w:spacing w:before="220"/>
        <w:ind w:firstLine="540"/>
        <w:jc w:val="both"/>
      </w:pPr>
      <w:proofErr w:type="gramStart"/>
      <w:r>
        <w:t>Оценку степени включенности участников программы в ее этапы, уровень личной удовлетворенности программой и динамики развития различных навыков, а также оценку качества изменений в освоении обучающимися соответствующих образовательных программ можно провести с помощью материалов, представленных в разделах 2.5 и 2.6 Приложения 2 к методическим рекомендациям ведомственного проектного офиса по внедрению целевой модели наставничества.</w:t>
      </w:r>
      <w:proofErr w:type="gramEnd"/>
    </w:p>
    <w:p w:rsidR="00170FB2" w:rsidRDefault="00170FB2">
      <w:pPr>
        <w:pStyle w:val="ConsPlusNormal"/>
        <w:spacing w:before="220"/>
        <w:ind w:firstLine="540"/>
        <w:jc w:val="both"/>
      </w:pPr>
      <w:r>
        <w:t>Среди оцениваемых параметров: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вовлеченность </w:t>
      </w:r>
      <w:proofErr w:type="gramStart"/>
      <w:r>
        <w:t>обучающихся</w:t>
      </w:r>
      <w:proofErr w:type="gramEnd"/>
      <w:r>
        <w:t xml:space="preserve"> в образовательную деятельность;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успеваемость </w:t>
      </w:r>
      <w:proofErr w:type="gramStart"/>
      <w:r>
        <w:t>обучающихся</w:t>
      </w:r>
      <w:proofErr w:type="gramEnd"/>
      <w:r>
        <w:t xml:space="preserve"> по основным предметам;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гибких навыков;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желание посещения школы (для </w:t>
      </w:r>
      <w:proofErr w:type="gramStart"/>
      <w:r>
        <w:t>обучающихся</w:t>
      </w:r>
      <w:proofErr w:type="gramEnd"/>
      <w:r>
        <w:t>);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уровень личностной тревожности (для </w:t>
      </w:r>
      <w:proofErr w:type="gramStart"/>
      <w:r>
        <w:t>обучающихся</w:t>
      </w:r>
      <w:proofErr w:type="gramEnd"/>
      <w:r>
        <w:t>);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понимание собственного будущего (для </w:t>
      </w:r>
      <w:proofErr w:type="gramStart"/>
      <w:r>
        <w:t>обучающихся</w:t>
      </w:r>
      <w:proofErr w:type="gramEnd"/>
      <w:r>
        <w:t>);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эмоциональное состояние при посещении школы (для </w:t>
      </w:r>
      <w:proofErr w:type="gramStart"/>
      <w:r>
        <w:t>обучающихся</w:t>
      </w:r>
      <w:proofErr w:type="gramEnd"/>
      <w:r>
        <w:t>);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желание высокой школьной успеваемости (для </w:t>
      </w:r>
      <w:proofErr w:type="gramStart"/>
      <w:r>
        <w:t>обучающихся</w:t>
      </w:r>
      <w:proofErr w:type="gramEnd"/>
      <w:r>
        <w:t>);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уровень профессионального выгорания (для педагогов);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удовлетворенность профессией (для педагогов);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психологический климат в педагогическом коллективе (для педагогов);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успешность (для работодателей);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lastRenderedPageBreak/>
        <w:t>ожидаемый и реальный уровень включенности (для работодателей);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ожидаемый и реальный процент возможных приглашений на стажировку (для работодателей).</w:t>
      </w:r>
    </w:p>
    <w:p w:rsidR="00170FB2" w:rsidRDefault="00170FB2">
      <w:pPr>
        <w:pStyle w:val="ConsPlusNormal"/>
        <w:jc w:val="both"/>
      </w:pPr>
    </w:p>
    <w:p w:rsidR="00170FB2" w:rsidRDefault="00170FB2">
      <w:pPr>
        <w:pStyle w:val="ConsPlusTitle"/>
        <w:ind w:firstLine="540"/>
        <w:jc w:val="both"/>
        <w:outlineLvl w:val="1"/>
      </w:pPr>
      <w:r>
        <w:t>7. Показатели эффективности внедрения целевой модели наставничества в субъектах Российской Федерации</w:t>
      </w:r>
    </w:p>
    <w:p w:rsidR="00170FB2" w:rsidRDefault="00170F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6"/>
        <w:gridCol w:w="1644"/>
        <w:gridCol w:w="1701"/>
      </w:tblGrid>
      <w:tr w:rsidR="00170FB2">
        <w:tc>
          <w:tcPr>
            <w:tcW w:w="5726" w:type="dxa"/>
          </w:tcPr>
          <w:p w:rsidR="00170FB2" w:rsidRDefault="00170FB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</w:tcPr>
          <w:p w:rsidR="00170FB2" w:rsidRDefault="00170FB2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701" w:type="dxa"/>
          </w:tcPr>
          <w:p w:rsidR="00170FB2" w:rsidRDefault="00170FB2">
            <w:pPr>
              <w:pStyle w:val="ConsPlusNormal"/>
              <w:jc w:val="center"/>
            </w:pPr>
            <w:r>
              <w:t>2024 г.</w:t>
            </w:r>
          </w:p>
        </w:tc>
      </w:tr>
      <w:tr w:rsidR="00170FB2">
        <w:tc>
          <w:tcPr>
            <w:tcW w:w="5726" w:type="dxa"/>
            <w:tcBorders>
              <w:bottom w:val="nil"/>
            </w:tcBorders>
            <w:vAlign w:val="center"/>
          </w:tcPr>
          <w:p w:rsidR="00170FB2" w:rsidRDefault="00170FB2">
            <w:pPr>
              <w:pStyle w:val="ConsPlusNormal"/>
              <w:jc w:val="both"/>
            </w:pPr>
            <w:r>
              <w:t>Доля детей в возрасте от 10 до 19 лет, проживающих в субъекте Российской Федерации, вошедших в программы наставничества в роли наставляемого, %</w:t>
            </w:r>
          </w:p>
        </w:tc>
        <w:tc>
          <w:tcPr>
            <w:tcW w:w="1644" w:type="dxa"/>
            <w:vMerge w:val="restart"/>
            <w:vAlign w:val="center"/>
          </w:tcPr>
          <w:p w:rsidR="00170FB2" w:rsidRDefault="00170F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170FB2" w:rsidRDefault="00170FB2">
            <w:pPr>
              <w:pStyle w:val="ConsPlusNormal"/>
              <w:jc w:val="center"/>
            </w:pPr>
            <w:r>
              <w:t>70</w:t>
            </w:r>
          </w:p>
        </w:tc>
      </w:tr>
      <w:tr w:rsidR="00170FB2">
        <w:tc>
          <w:tcPr>
            <w:tcW w:w="5726" w:type="dxa"/>
            <w:tcBorders>
              <w:top w:val="nil"/>
            </w:tcBorders>
            <w:vAlign w:val="center"/>
          </w:tcPr>
          <w:p w:rsidR="00170FB2" w:rsidRDefault="00170FB2">
            <w:pPr>
              <w:pStyle w:val="ConsPlusNormal"/>
              <w:jc w:val="both"/>
            </w:pPr>
            <w:r>
              <w:t>(отношение количества детей в возрасте от 10 до 19 лет, вошедших в программы наставничества в роли наставляемого, к общему количеству детей, проживающих в субъекте Российской Федерации)</w:t>
            </w:r>
          </w:p>
        </w:tc>
        <w:tc>
          <w:tcPr>
            <w:tcW w:w="1644" w:type="dxa"/>
            <w:vMerge/>
          </w:tcPr>
          <w:p w:rsidR="00170FB2" w:rsidRDefault="00170FB2"/>
        </w:tc>
        <w:tc>
          <w:tcPr>
            <w:tcW w:w="1701" w:type="dxa"/>
            <w:vMerge/>
          </w:tcPr>
          <w:p w:rsidR="00170FB2" w:rsidRDefault="00170FB2"/>
        </w:tc>
      </w:tr>
      <w:tr w:rsidR="00170FB2">
        <w:tc>
          <w:tcPr>
            <w:tcW w:w="5726" w:type="dxa"/>
            <w:tcBorders>
              <w:bottom w:val="nil"/>
            </w:tcBorders>
            <w:vAlign w:val="center"/>
          </w:tcPr>
          <w:p w:rsidR="00170FB2" w:rsidRDefault="00170FB2">
            <w:pPr>
              <w:pStyle w:val="ConsPlusNormal"/>
              <w:jc w:val="both"/>
            </w:pPr>
            <w:r>
              <w:t>Доля детей и подростков в возрасте от 15 до 19 лет, проживающих в субъекте Российской Федерации, вошедших в программы наставничества в роли наставника, %</w:t>
            </w:r>
          </w:p>
        </w:tc>
        <w:tc>
          <w:tcPr>
            <w:tcW w:w="1644" w:type="dxa"/>
            <w:vMerge w:val="restart"/>
            <w:vAlign w:val="center"/>
          </w:tcPr>
          <w:p w:rsidR="00170FB2" w:rsidRDefault="00170F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170FB2" w:rsidRDefault="00170FB2">
            <w:pPr>
              <w:pStyle w:val="ConsPlusNormal"/>
              <w:jc w:val="center"/>
            </w:pPr>
            <w:r>
              <w:t>10</w:t>
            </w:r>
          </w:p>
        </w:tc>
      </w:tr>
      <w:tr w:rsidR="00170FB2">
        <w:tc>
          <w:tcPr>
            <w:tcW w:w="5726" w:type="dxa"/>
            <w:tcBorders>
              <w:top w:val="nil"/>
            </w:tcBorders>
            <w:vAlign w:val="center"/>
          </w:tcPr>
          <w:p w:rsidR="00170FB2" w:rsidRDefault="00170FB2">
            <w:pPr>
              <w:pStyle w:val="ConsPlusNormal"/>
              <w:jc w:val="both"/>
            </w:pPr>
            <w:r>
              <w:t>(отношение количества детей и подростков в возрасте от 15 до 19 лет, вошедших в программы наставничества в роли наставника, к общему количеству детей и подростков в возрасте от 15 до 19 лет, проживающих в субъекте Российской Федерации)</w:t>
            </w:r>
          </w:p>
        </w:tc>
        <w:tc>
          <w:tcPr>
            <w:tcW w:w="1644" w:type="dxa"/>
            <w:vMerge/>
          </w:tcPr>
          <w:p w:rsidR="00170FB2" w:rsidRDefault="00170FB2"/>
        </w:tc>
        <w:tc>
          <w:tcPr>
            <w:tcW w:w="1701" w:type="dxa"/>
            <w:vMerge/>
          </w:tcPr>
          <w:p w:rsidR="00170FB2" w:rsidRDefault="00170FB2"/>
        </w:tc>
      </w:tr>
      <w:tr w:rsidR="00170FB2">
        <w:tc>
          <w:tcPr>
            <w:tcW w:w="5726" w:type="dxa"/>
            <w:tcBorders>
              <w:bottom w:val="nil"/>
            </w:tcBorders>
            <w:vAlign w:val="center"/>
          </w:tcPr>
          <w:p w:rsidR="00170FB2" w:rsidRDefault="00170FB2">
            <w:pPr>
              <w:pStyle w:val="ConsPlusNormal"/>
              <w:jc w:val="both"/>
            </w:pPr>
            <w:r>
              <w:t>Доля учителей - молодых специалистов (с опытом работы от 0 до 3 лет), проживающих в субъекте Российской Федерации, вошедших в программы наставничества в роли наставляемого, %</w:t>
            </w:r>
          </w:p>
        </w:tc>
        <w:tc>
          <w:tcPr>
            <w:tcW w:w="1644" w:type="dxa"/>
            <w:vMerge w:val="restart"/>
            <w:vAlign w:val="center"/>
          </w:tcPr>
          <w:p w:rsidR="00170FB2" w:rsidRDefault="00170F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170FB2" w:rsidRDefault="00170FB2">
            <w:pPr>
              <w:pStyle w:val="ConsPlusNormal"/>
              <w:jc w:val="center"/>
            </w:pPr>
            <w:r>
              <w:t>70</w:t>
            </w:r>
          </w:p>
        </w:tc>
      </w:tr>
      <w:tr w:rsidR="00170FB2">
        <w:tc>
          <w:tcPr>
            <w:tcW w:w="5726" w:type="dxa"/>
            <w:tcBorders>
              <w:top w:val="nil"/>
            </w:tcBorders>
            <w:vAlign w:val="center"/>
          </w:tcPr>
          <w:p w:rsidR="00170FB2" w:rsidRDefault="00170FB2">
            <w:pPr>
              <w:pStyle w:val="ConsPlusNormal"/>
              <w:jc w:val="both"/>
            </w:pPr>
            <w:r>
              <w:t>(отношение количества учителей - молодых специалистов, вошедших в программы наставничества в роли наставляемого, к общему количеству учителей - молодых специалистов, проживающих в субъекте Российской Федерации)</w:t>
            </w:r>
          </w:p>
        </w:tc>
        <w:tc>
          <w:tcPr>
            <w:tcW w:w="1644" w:type="dxa"/>
            <w:vMerge/>
          </w:tcPr>
          <w:p w:rsidR="00170FB2" w:rsidRDefault="00170FB2"/>
        </w:tc>
        <w:tc>
          <w:tcPr>
            <w:tcW w:w="1701" w:type="dxa"/>
            <w:vMerge/>
          </w:tcPr>
          <w:p w:rsidR="00170FB2" w:rsidRDefault="00170FB2"/>
        </w:tc>
      </w:tr>
      <w:tr w:rsidR="00170FB2">
        <w:tc>
          <w:tcPr>
            <w:tcW w:w="5726" w:type="dxa"/>
            <w:tcBorders>
              <w:bottom w:val="nil"/>
            </w:tcBorders>
            <w:vAlign w:val="center"/>
          </w:tcPr>
          <w:p w:rsidR="00170FB2" w:rsidRDefault="00170FB2">
            <w:pPr>
              <w:pStyle w:val="ConsPlusNormal"/>
              <w:jc w:val="both"/>
            </w:pPr>
            <w:r>
              <w:t>Доля предприятий (организаций) от общего количества предприятий, осуществляющих деятельность в субъекте Российской Федерации, вошедших в программы наставничества, предоставив своих наставников, %</w:t>
            </w:r>
          </w:p>
        </w:tc>
        <w:tc>
          <w:tcPr>
            <w:tcW w:w="1644" w:type="dxa"/>
            <w:vMerge w:val="restart"/>
            <w:vAlign w:val="center"/>
          </w:tcPr>
          <w:p w:rsidR="00170FB2" w:rsidRDefault="00170F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170FB2" w:rsidRDefault="00170FB2">
            <w:pPr>
              <w:pStyle w:val="ConsPlusNormal"/>
              <w:jc w:val="center"/>
            </w:pPr>
            <w:r>
              <w:t>30</w:t>
            </w:r>
          </w:p>
        </w:tc>
      </w:tr>
      <w:tr w:rsidR="00170FB2">
        <w:tc>
          <w:tcPr>
            <w:tcW w:w="5726" w:type="dxa"/>
            <w:tcBorders>
              <w:top w:val="nil"/>
            </w:tcBorders>
          </w:tcPr>
          <w:p w:rsidR="00170FB2" w:rsidRDefault="00170FB2">
            <w:pPr>
              <w:pStyle w:val="ConsPlusNormal"/>
              <w:jc w:val="both"/>
            </w:pPr>
            <w:r>
              <w:t>(отношение количества предприятий, предоставивших своих сотрудников для участия в программах наставничества в роли наставников, к общему количеству предприятий, осуществляющих деятельность в субъекте Российской Федерации)</w:t>
            </w:r>
          </w:p>
        </w:tc>
        <w:tc>
          <w:tcPr>
            <w:tcW w:w="1644" w:type="dxa"/>
            <w:vMerge/>
          </w:tcPr>
          <w:p w:rsidR="00170FB2" w:rsidRDefault="00170FB2"/>
        </w:tc>
        <w:tc>
          <w:tcPr>
            <w:tcW w:w="1701" w:type="dxa"/>
            <w:vMerge/>
          </w:tcPr>
          <w:p w:rsidR="00170FB2" w:rsidRDefault="00170FB2"/>
        </w:tc>
      </w:tr>
      <w:tr w:rsidR="00170FB2">
        <w:tc>
          <w:tcPr>
            <w:tcW w:w="5726" w:type="dxa"/>
            <w:tcBorders>
              <w:bottom w:val="nil"/>
            </w:tcBorders>
            <w:vAlign w:val="center"/>
          </w:tcPr>
          <w:p w:rsidR="00170FB2" w:rsidRDefault="00170FB2">
            <w:pPr>
              <w:pStyle w:val="ConsPlusNormal"/>
              <w:jc w:val="both"/>
            </w:pPr>
            <w:proofErr w:type="gramStart"/>
            <w:r>
              <w:t>Уровень удовлетворенности наставляемых участием в программах наставничества, % (опросный)</w:t>
            </w:r>
            <w:proofErr w:type="gramEnd"/>
          </w:p>
        </w:tc>
        <w:tc>
          <w:tcPr>
            <w:tcW w:w="1644" w:type="dxa"/>
            <w:vMerge w:val="restart"/>
            <w:vAlign w:val="center"/>
          </w:tcPr>
          <w:p w:rsidR="00170FB2" w:rsidRDefault="00170FB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01" w:type="dxa"/>
            <w:vMerge w:val="restart"/>
            <w:vAlign w:val="center"/>
          </w:tcPr>
          <w:p w:rsidR="00170FB2" w:rsidRDefault="00170FB2">
            <w:pPr>
              <w:pStyle w:val="ConsPlusNormal"/>
              <w:jc w:val="center"/>
            </w:pPr>
            <w:r>
              <w:t>85</w:t>
            </w:r>
          </w:p>
        </w:tc>
      </w:tr>
      <w:tr w:rsidR="00170FB2">
        <w:tc>
          <w:tcPr>
            <w:tcW w:w="5726" w:type="dxa"/>
            <w:tcBorders>
              <w:top w:val="nil"/>
            </w:tcBorders>
          </w:tcPr>
          <w:p w:rsidR="00170FB2" w:rsidRDefault="00170FB2">
            <w:pPr>
              <w:pStyle w:val="ConsPlusNormal"/>
              <w:jc w:val="both"/>
            </w:pPr>
            <w:proofErr w:type="gramStart"/>
            <w:r>
              <w:lastRenderedPageBreak/>
              <w:t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в субъекте Российской Федерации)</w:t>
            </w:r>
            <w:proofErr w:type="gramEnd"/>
          </w:p>
        </w:tc>
        <w:tc>
          <w:tcPr>
            <w:tcW w:w="1644" w:type="dxa"/>
            <w:vMerge/>
          </w:tcPr>
          <w:p w:rsidR="00170FB2" w:rsidRDefault="00170FB2"/>
        </w:tc>
        <w:tc>
          <w:tcPr>
            <w:tcW w:w="1701" w:type="dxa"/>
            <w:vMerge/>
          </w:tcPr>
          <w:p w:rsidR="00170FB2" w:rsidRDefault="00170FB2"/>
        </w:tc>
      </w:tr>
      <w:tr w:rsidR="00170FB2">
        <w:tc>
          <w:tcPr>
            <w:tcW w:w="5726" w:type="dxa"/>
            <w:tcBorders>
              <w:bottom w:val="nil"/>
            </w:tcBorders>
            <w:vAlign w:val="center"/>
          </w:tcPr>
          <w:p w:rsidR="00170FB2" w:rsidRDefault="00170FB2">
            <w:pPr>
              <w:pStyle w:val="ConsPlusNormal"/>
              <w:jc w:val="both"/>
            </w:pPr>
            <w:r>
              <w:t>Уровень удовлетворенности наставников участием в программах наставничества, % (опросный)</w:t>
            </w:r>
          </w:p>
        </w:tc>
        <w:tc>
          <w:tcPr>
            <w:tcW w:w="1644" w:type="dxa"/>
            <w:vMerge w:val="restart"/>
            <w:vAlign w:val="center"/>
          </w:tcPr>
          <w:p w:rsidR="00170FB2" w:rsidRDefault="00170FB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01" w:type="dxa"/>
            <w:vMerge w:val="restart"/>
            <w:vAlign w:val="center"/>
          </w:tcPr>
          <w:p w:rsidR="00170FB2" w:rsidRDefault="00170FB2">
            <w:pPr>
              <w:pStyle w:val="ConsPlusNormal"/>
              <w:jc w:val="center"/>
            </w:pPr>
            <w:r>
              <w:t>85</w:t>
            </w:r>
          </w:p>
        </w:tc>
      </w:tr>
      <w:tr w:rsidR="00170FB2">
        <w:tblPrEx>
          <w:tblBorders>
            <w:insideH w:val="nil"/>
          </w:tblBorders>
        </w:tblPrEx>
        <w:tc>
          <w:tcPr>
            <w:tcW w:w="5726" w:type="dxa"/>
            <w:tcBorders>
              <w:top w:val="nil"/>
            </w:tcBorders>
            <w:vAlign w:val="center"/>
          </w:tcPr>
          <w:p w:rsidR="00170FB2" w:rsidRDefault="00170FB2">
            <w:pPr>
              <w:pStyle w:val="ConsPlusNormal"/>
              <w:jc w:val="both"/>
            </w:pPr>
            <w:r>
              <w:t>(отношение количества наставников, удовлетворенных участием в программах наставничества, к общему количеству наставников, принявших участие в программах наставничества, реализуемых в субъекте Российской Федерации)</w:t>
            </w:r>
          </w:p>
        </w:tc>
        <w:tc>
          <w:tcPr>
            <w:tcW w:w="1644" w:type="dxa"/>
            <w:vMerge/>
          </w:tcPr>
          <w:p w:rsidR="00170FB2" w:rsidRDefault="00170FB2"/>
        </w:tc>
        <w:tc>
          <w:tcPr>
            <w:tcW w:w="1701" w:type="dxa"/>
            <w:vMerge/>
          </w:tcPr>
          <w:p w:rsidR="00170FB2" w:rsidRDefault="00170FB2"/>
        </w:tc>
      </w:tr>
    </w:tbl>
    <w:p w:rsidR="00170FB2" w:rsidRDefault="00170FB2">
      <w:pPr>
        <w:pStyle w:val="ConsPlusNormal"/>
        <w:jc w:val="both"/>
      </w:pPr>
    </w:p>
    <w:p w:rsidR="00170FB2" w:rsidRDefault="00170FB2">
      <w:pPr>
        <w:pStyle w:val="ConsPlusTitle"/>
        <w:ind w:firstLine="540"/>
        <w:jc w:val="both"/>
        <w:outlineLvl w:val="1"/>
      </w:pPr>
      <w:r>
        <w:t>8. Нормативные основы целевой модели наставничества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8.1. Целевая модель наставничества опирается на нормативные правовые акты Российской Федерации и разработана с целью формирования организационно-методической основы для внедрения в субъектах Российской Федерации и последующего развития механизмов </w:t>
      </w:r>
      <w:proofErr w:type="gramStart"/>
      <w:r>
        <w:t>наставничества</w:t>
      </w:r>
      <w:proofErr w:type="gramEnd"/>
      <w:r>
        <w:t xml:space="preserve"> обучающихся образовательных организаций, в том числе с применением лучших практик обмена опытом между обучающимися и привлечением представителей региональных предприятий и организаций к этой деятельности.</w:t>
      </w:r>
    </w:p>
    <w:p w:rsidR="00170FB2" w:rsidRDefault="00170FB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Стратегия</w:t>
        </w:r>
      </w:hyperlink>
      <w:r>
        <w:t xml:space="preserve"> развития воспитания в Российской Федерации до 2025 года &lt;1&gt; актуализирует задачу объединения усилий с целью реализации единой государственной политики в области воспитания, определения сущностных характеристик современного воспитательного процесса, обмена инновационным опытом, популяризации лучших практик поддержки и раскрытия потенциала детей и подростков, в том числе посредством привлечения волонтеров-наставников.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Стратегия</w:t>
        </w:r>
      </w:hyperlink>
      <w:r>
        <w:t xml:space="preserve"> развития воспитания в Российской Федерации до 2025 года, утвержденная распоряжением Правительства Российской Федерации от 29 мая 2015 г. N 996-р.</w:t>
      </w:r>
    </w:p>
    <w:p w:rsidR="00170FB2" w:rsidRDefault="00170FB2">
      <w:pPr>
        <w:pStyle w:val="ConsPlusNormal"/>
        <w:jc w:val="both"/>
      </w:pPr>
    </w:p>
    <w:p w:rsidR="00170FB2" w:rsidRDefault="00170FB2">
      <w:pPr>
        <w:pStyle w:val="ConsPlusNormal"/>
        <w:ind w:firstLine="540"/>
        <w:jc w:val="both"/>
      </w:pPr>
      <w:r>
        <w:t>Нормативные правовые основания такой деятельности в Российской Федерации обеспечиваются рядом документов, соответствующих требованиям международных актов, конвенций, в том числе: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Всеобщей Декларацией добровольчества, принятой на XVI Всемирной конференции Международной ассоциации добровольческих усилий (IAVE, Амстердам, январь, 2001 год);</w:t>
      </w:r>
    </w:p>
    <w:p w:rsidR="00170FB2" w:rsidRDefault="00170FB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Конвенцией</w:t>
        </w:r>
      </w:hyperlink>
      <w:r>
        <w:t xml:space="preserve"> о правах ребенка, одобренной Генеральной Ассамблеей ООН 20 ноября 1989 г., ратифицированной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ВС СССР от 13 июня 1990 г. N 1559;</w:t>
      </w:r>
    </w:p>
    <w:p w:rsidR="00170FB2" w:rsidRDefault="00170FB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Резолюцией</w:t>
        </w:r>
      </w:hyperlink>
      <w:r>
        <w:t xml:space="preserve"> Европейского парламента 2011/2088(INI) от 1 декабря 2011 г. "О предотвращении преждевременного оставления школы".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>8.2. Целевая модель наставничества реализуется в целях поддержки формирования личности, саморазвития и раскрытия потенциала обучающегося, педагога или молодого специалиста. Один из способов раскрытия потенциала - формирование активной жизненной позиции обучающихся и стремление заниматься добровольческой деятельностью, способствующей самореализации личности. Нормативную правовую базу этой деятельности в нашей стране в разных сферах на федеральном уровне обеспечивают:</w:t>
      </w:r>
    </w:p>
    <w:p w:rsidR="00170FB2" w:rsidRDefault="00170FB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18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Трудовой </w:t>
      </w:r>
      <w:hyperlink r:id="rId19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11 августа 1995 г. N 135-ФЗ "О благотворительной деятельности и благотворительных организациях";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19 мая 1995 г. N 82-ФЗ "Об общественных объединениях";</w:t>
      </w:r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12 января 1996 г. N 7-ФЗ "О некоммерческих организациях";</w:t>
      </w:r>
    </w:p>
    <w:p w:rsidR="00170FB2" w:rsidRDefault="00170FB2">
      <w:pPr>
        <w:pStyle w:val="ConsPlusNormal"/>
        <w:spacing w:before="220"/>
        <w:ind w:firstLine="540"/>
        <w:jc w:val="both"/>
      </w:pPr>
      <w:hyperlink r:id="rId23" w:history="1">
        <w:proofErr w:type="gramStart"/>
        <w:r>
          <w:rPr>
            <w:color w:val="0000FF"/>
          </w:rPr>
          <w:t>Концепция</w:t>
        </w:r>
      </w:hyperlink>
      <w:r>
        <w:t xml:space="preserve"> содействия развитию благотворительной деятельности и добровольчества в Российской Федерации на период до 2025 года, утвержденная распоряжением Правительства Российской Федерации от 15 ноября 2019 г. N 2705-р).</w:t>
      </w:r>
      <w:proofErr w:type="gramEnd"/>
    </w:p>
    <w:p w:rsidR="00170FB2" w:rsidRDefault="00170FB2">
      <w:pPr>
        <w:pStyle w:val="ConsPlusNormal"/>
        <w:spacing w:before="220"/>
        <w:ind w:firstLine="540"/>
        <w:jc w:val="both"/>
      </w:pPr>
      <w:r>
        <w:t>8.3. Наставническую деятельность, в том числе в образовательной среде, регламентируют:</w:t>
      </w:r>
    </w:p>
    <w:p w:rsidR="00170FB2" w:rsidRDefault="00170FB2">
      <w:pPr>
        <w:pStyle w:val="ConsPlusNormal"/>
        <w:spacing w:before="220"/>
        <w:ind w:firstLine="540"/>
        <w:jc w:val="both"/>
      </w:pPr>
      <w:proofErr w:type="gramStart"/>
      <w: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г.);</w:t>
      </w:r>
      <w:proofErr w:type="gramEnd"/>
    </w:p>
    <w:p w:rsidR="00170FB2" w:rsidRDefault="00170FB2">
      <w:pPr>
        <w:pStyle w:val="ConsPlusNormal"/>
        <w:spacing w:before="220"/>
        <w:ind w:firstLine="540"/>
        <w:jc w:val="both"/>
      </w:pPr>
      <w:hyperlink r:id="rId24" w:history="1">
        <w:proofErr w:type="gramStart"/>
        <w:r>
          <w:rPr>
            <w:color w:val="0000FF"/>
          </w:rPr>
          <w:t>Основы</w:t>
        </w:r>
      </w:hyperlink>
      <w:r>
        <w:t xml:space="preserve">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N 2403-Р);</w:t>
      </w:r>
      <w:proofErr w:type="gramEnd"/>
    </w:p>
    <w:p w:rsidR="00170FB2" w:rsidRDefault="00170FB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Федерации".</w:t>
      </w:r>
    </w:p>
    <w:p w:rsidR="00170FB2" w:rsidRDefault="00170FB2">
      <w:pPr>
        <w:pStyle w:val="ConsPlusNormal"/>
        <w:jc w:val="both"/>
      </w:pPr>
    </w:p>
    <w:p w:rsidR="00170FB2" w:rsidRDefault="00170FB2">
      <w:pPr>
        <w:pStyle w:val="ConsPlusNormal"/>
        <w:jc w:val="both"/>
      </w:pPr>
    </w:p>
    <w:p w:rsidR="00170FB2" w:rsidRDefault="00170FB2">
      <w:pPr>
        <w:pStyle w:val="ConsPlusNormal"/>
        <w:jc w:val="both"/>
      </w:pPr>
    </w:p>
    <w:p w:rsidR="00170FB2" w:rsidRDefault="00170FB2">
      <w:pPr>
        <w:pStyle w:val="ConsPlusNormal"/>
        <w:jc w:val="both"/>
      </w:pPr>
    </w:p>
    <w:p w:rsidR="00170FB2" w:rsidRDefault="00170FB2">
      <w:pPr>
        <w:pStyle w:val="ConsPlusNormal"/>
        <w:jc w:val="both"/>
      </w:pPr>
    </w:p>
    <w:p w:rsidR="00170FB2" w:rsidRDefault="00170FB2">
      <w:pPr>
        <w:pStyle w:val="ConsPlusNormal"/>
        <w:jc w:val="right"/>
        <w:outlineLvl w:val="1"/>
      </w:pPr>
      <w:r>
        <w:t>Приложение</w:t>
      </w:r>
    </w:p>
    <w:p w:rsidR="00170FB2" w:rsidRDefault="00170FB2">
      <w:pPr>
        <w:pStyle w:val="ConsPlusNormal"/>
        <w:jc w:val="both"/>
      </w:pPr>
    </w:p>
    <w:p w:rsidR="00170FB2" w:rsidRDefault="00170FB2">
      <w:pPr>
        <w:pStyle w:val="ConsPlusNormal"/>
        <w:jc w:val="center"/>
      </w:pPr>
      <w:bookmarkStart w:id="1" w:name="P377"/>
      <w:bookmarkEnd w:id="1"/>
      <w:r>
        <w:t>ПРИМЕРНЫЕ ФОРМЫ ДОКУМЕНТОВ</w:t>
      </w:r>
    </w:p>
    <w:p w:rsidR="00170FB2" w:rsidRDefault="00170FB2">
      <w:pPr>
        <w:pStyle w:val="ConsPlusNormal"/>
        <w:jc w:val="both"/>
      </w:pPr>
    </w:p>
    <w:p w:rsidR="00170FB2" w:rsidRDefault="00170FB2">
      <w:pPr>
        <w:pStyle w:val="ConsPlusNormal"/>
        <w:jc w:val="center"/>
        <w:outlineLvl w:val="2"/>
      </w:pPr>
      <w:bookmarkStart w:id="2" w:name="P379"/>
      <w:bookmarkEnd w:id="2"/>
      <w:r>
        <w:t xml:space="preserve">1. Примерная форма базы </w:t>
      </w:r>
      <w:proofErr w:type="gramStart"/>
      <w:r>
        <w:t>наставляемых</w:t>
      </w:r>
      <w:proofErr w:type="gramEnd"/>
    </w:p>
    <w:p w:rsidR="00170FB2" w:rsidRDefault="00170FB2">
      <w:pPr>
        <w:pStyle w:val="ConsPlusNormal"/>
        <w:jc w:val="both"/>
      </w:pPr>
    </w:p>
    <w:p w:rsidR="00170FB2" w:rsidRDefault="00170FB2">
      <w:pPr>
        <w:sectPr w:rsidR="00170FB2" w:rsidSect="00863F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964"/>
        <w:gridCol w:w="1191"/>
        <w:gridCol w:w="850"/>
        <w:gridCol w:w="737"/>
        <w:gridCol w:w="1051"/>
        <w:gridCol w:w="794"/>
        <w:gridCol w:w="680"/>
        <w:gridCol w:w="680"/>
        <w:gridCol w:w="737"/>
        <w:gridCol w:w="794"/>
        <w:gridCol w:w="1417"/>
        <w:gridCol w:w="850"/>
      </w:tblGrid>
      <w:tr w:rsidR="00170FB2">
        <w:tc>
          <w:tcPr>
            <w:tcW w:w="340" w:type="dxa"/>
          </w:tcPr>
          <w:p w:rsidR="00170FB2" w:rsidRDefault="00170FB2">
            <w:pPr>
              <w:pStyle w:val="ConsPlusNormal"/>
            </w:pPr>
          </w:p>
        </w:tc>
        <w:tc>
          <w:tcPr>
            <w:tcW w:w="964" w:type="dxa"/>
          </w:tcPr>
          <w:p w:rsidR="00170FB2" w:rsidRDefault="00170FB2">
            <w:pPr>
              <w:pStyle w:val="ConsPlusNormal"/>
              <w:jc w:val="center"/>
            </w:pPr>
            <w:r>
              <w:t xml:space="preserve">ФИО </w:t>
            </w:r>
            <w:proofErr w:type="gramStart"/>
            <w:r>
              <w:t>наставляемого</w:t>
            </w:r>
            <w:proofErr w:type="gramEnd"/>
          </w:p>
        </w:tc>
        <w:tc>
          <w:tcPr>
            <w:tcW w:w="1191" w:type="dxa"/>
          </w:tcPr>
          <w:p w:rsidR="00170FB2" w:rsidRDefault="00170FB2">
            <w:pPr>
              <w:pStyle w:val="ConsPlusNormal"/>
              <w:jc w:val="center"/>
            </w:pPr>
            <w:r>
              <w:t>Контактные данные для связи (данные представителя)</w:t>
            </w:r>
          </w:p>
        </w:tc>
        <w:tc>
          <w:tcPr>
            <w:tcW w:w="850" w:type="dxa"/>
          </w:tcPr>
          <w:p w:rsidR="00170FB2" w:rsidRDefault="00170FB2">
            <w:pPr>
              <w:pStyle w:val="ConsPlusNormal"/>
              <w:jc w:val="center"/>
            </w:pPr>
            <w:r>
              <w:t>Год рождения наставляемого</w:t>
            </w:r>
          </w:p>
        </w:tc>
        <w:tc>
          <w:tcPr>
            <w:tcW w:w="737" w:type="dxa"/>
          </w:tcPr>
          <w:p w:rsidR="00170FB2" w:rsidRDefault="00170FB2">
            <w:pPr>
              <w:pStyle w:val="ConsPlusNormal"/>
              <w:jc w:val="center"/>
            </w:pPr>
            <w:r>
              <w:t xml:space="preserve">Основной запрос </w:t>
            </w:r>
            <w:proofErr w:type="gramStart"/>
            <w:r>
              <w:t>наставляемого</w:t>
            </w:r>
            <w:proofErr w:type="gramEnd"/>
          </w:p>
        </w:tc>
        <w:tc>
          <w:tcPr>
            <w:tcW w:w="1051" w:type="dxa"/>
          </w:tcPr>
          <w:p w:rsidR="00170FB2" w:rsidRDefault="00170FB2">
            <w:pPr>
              <w:pStyle w:val="ConsPlusNormal"/>
              <w:jc w:val="center"/>
            </w:pPr>
            <w:r>
              <w:t>Дата вхождения в программу</w:t>
            </w:r>
          </w:p>
        </w:tc>
        <w:tc>
          <w:tcPr>
            <w:tcW w:w="794" w:type="dxa"/>
          </w:tcPr>
          <w:p w:rsidR="00170FB2" w:rsidRDefault="00170FB2">
            <w:pPr>
              <w:pStyle w:val="ConsPlusNormal"/>
              <w:jc w:val="center"/>
            </w:pPr>
            <w:r>
              <w:t>ФИО наставника</w:t>
            </w:r>
          </w:p>
        </w:tc>
        <w:tc>
          <w:tcPr>
            <w:tcW w:w="680" w:type="dxa"/>
          </w:tcPr>
          <w:p w:rsidR="00170FB2" w:rsidRDefault="00170FB2">
            <w:pPr>
              <w:pStyle w:val="ConsPlusNormal"/>
              <w:jc w:val="center"/>
            </w:pPr>
            <w:r>
              <w:t>Форма наставничества</w:t>
            </w:r>
          </w:p>
        </w:tc>
        <w:tc>
          <w:tcPr>
            <w:tcW w:w="680" w:type="dxa"/>
          </w:tcPr>
          <w:p w:rsidR="00170FB2" w:rsidRDefault="00170FB2">
            <w:pPr>
              <w:pStyle w:val="ConsPlusNormal"/>
              <w:jc w:val="center"/>
            </w:pPr>
            <w:r>
              <w:t>Место работы/учебы наставника</w:t>
            </w:r>
          </w:p>
        </w:tc>
        <w:tc>
          <w:tcPr>
            <w:tcW w:w="737" w:type="dxa"/>
          </w:tcPr>
          <w:p w:rsidR="00170FB2" w:rsidRDefault="00170FB2">
            <w:pPr>
              <w:pStyle w:val="ConsPlusNormal"/>
              <w:jc w:val="center"/>
            </w:pPr>
            <w:r>
              <w:t>Дата завершения программы</w:t>
            </w:r>
          </w:p>
        </w:tc>
        <w:tc>
          <w:tcPr>
            <w:tcW w:w="794" w:type="dxa"/>
          </w:tcPr>
          <w:p w:rsidR="00170FB2" w:rsidRDefault="00170FB2">
            <w:pPr>
              <w:pStyle w:val="ConsPlusNormal"/>
              <w:jc w:val="center"/>
            </w:pPr>
            <w:r>
              <w:t>Результаты программы</w:t>
            </w:r>
          </w:p>
        </w:tc>
        <w:tc>
          <w:tcPr>
            <w:tcW w:w="1417" w:type="dxa"/>
          </w:tcPr>
          <w:p w:rsidR="00170FB2" w:rsidRDefault="00170FB2">
            <w:pPr>
              <w:pStyle w:val="ConsPlusNormal"/>
              <w:jc w:val="center"/>
            </w:pPr>
            <w:r>
              <w:t xml:space="preserve">Ссылка на кейс/отзыв </w:t>
            </w:r>
            <w:proofErr w:type="gramStart"/>
            <w:r>
              <w:t>наставляемого</w:t>
            </w:r>
            <w:proofErr w:type="gramEnd"/>
            <w:r>
              <w:t>, размещенные на сайте организации</w:t>
            </w:r>
          </w:p>
        </w:tc>
        <w:tc>
          <w:tcPr>
            <w:tcW w:w="850" w:type="dxa"/>
          </w:tcPr>
          <w:p w:rsidR="00170FB2" w:rsidRDefault="00170FB2">
            <w:pPr>
              <w:pStyle w:val="ConsPlusNormal"/>
              <w:jc w:val="center"/>
            </w:pPr>
            <w:r>
              <w:t>Отметка о прохождении программы</w:t>
            </w:r>
          </w:p>
        </w:tc>
      </w:tr>
      <w:tr w:rsidR="00170FB2">
        <w:tc>
          <w:tcPr>
            <w:tcW w:w="340" w:type="dxa"/>
            <w:vAlign w:val="center"/>
          </w:tcPr>
          <w:p w:rsidR="00170FB2" w:rsidRDefault="00170F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191" w:type="dxa"/>
          </w:tcPr>
          <w:p w:rsidR="00170FB2" w:rsidRDefault="00170FB2">
            <w:pPr>
              <w:pStyle w:val="ConsPlusNormal"/>
            </w:pPr>
          </w:p>
        </w:tc>
        <w:tc>
          <w:tcPr>
            <w:tcW w:w="850" w:type="dxa"/>
          </w:tcPr>
          <w:p w:rsidR="00170FB2" w:rsidRDefault="00170FB2">
            <w:pPr>
              <w:pStyle w:val="ConsPlusNormal"/>
            </w:pPr>
          </w:p>
        </w:tc>
        <w:tc>
          <w:tcPr>
            <w:tcW w:w="737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051" w:type="dxa"/>
          </w:tcPr>
          <w:p w:rsidR="00170FB2" w:rsidRDefault="00170FB2">
            <w:pPr>
              <w:pStyle w:val="ConsPlusNormal"/>
            </w:pPr>
          </w:p>
        </w:tc>
        <w:tc>
          <w:tcPr>
            <w:tcW w:w="79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680" w:type="dxa"/>
          </w:tcPr>
          <w:p w:rsidR="00170FB2" w:rsidRDefault="00170FB2">
            <w:pPr>
              <w:pStyle w:val="ConsPlusNormal"/>
            </w:pPr>
          </w:p>
        </w:tc>
        <w:tc>
          <w:tcPr>
            <w:tcW w:w="680" w:type="dxa"/>
          </w:tcPr>
          <w:p w:rsidR="00170FB2" w:rsidRDefault="00170FB2">
            <w:pPr>
              <w:pStyle w:val="ConsPlusNormal"/>
            </w:pPr>
          </w:p>
        </w:tc>
        <w:tc>
          <w:tcPr>
            <w:tcW w:w="737" w:type="dxa"/>
          </w:tcPr>
          <w:p w:rsidR="00170FB2" w:rsidRDefault="00170FB2">
            <w:pPr>
              <w:pStyle w:val="ConsPlusNormal"/>
            </w:pPr>
          </w:p>
        </w:tc>
        <w:tc>
          <w:tcPr>
            <w:tcW w:w="79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17" w:type="dxa"/>
          </w:tcPr>
          <w:p w:rsidR="00170FB2" w:rsidRDefault="00170FB2">
            <w:pPr>
              <w:pStyle w:val="ConsPlusNormal"/>
            </w:pPr>
          </w:p>
        </w:tc>
        <w:tc>
          <w:tcPr>
            <w:tcW w:w="850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340" w:type="dxa"/>
            <w:vAlign w:val="center"/>
          </w:tcPr>
          <w:p w:rsidR="00170FB2" w:rsidRDefault="00170F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191" w:type="dxa"/>
          </w:tcPr>
          <w:p w:rsidR="00170FB2" w:rsidRDefault="00170FB2">
            <w:pPr>
              <w:pStyle w:val="ConsPlusNormal"/>
            </w:pPr>
          </w:p>
        </w:tc>
        <w:tc>
          <w:tcPr>
            <w:tcW w:w="850" w:type="dxa"/>
          </w:tcPr>
          <w:p w:rsidR="00170FB2" w:rsidRDefault="00170FB2">
            <w:pPr>
              <w:pStyle w:val="ConsPlusNormal"/>
            </w:pPr>
          </w:p>
        </w:tc>
        <w:tc>
          <w:tcPr>
            <w:tcW w:w="737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051" w:type="dxa"/>
          </w:tcPr>
          <w:p w:rsidR="00170FB2" w:rsidRDefault="00170FB2">
            <w:pPr>
              <w:pStyle w:val="ConsPlusNormal"/>
            </w:pPr>
          </w:p>
        </w:tc>
        <w:tc>
          <w:tcPr>
            <w:tcW w:w="79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680" w:type="dxa"/>
          </w:tcPr>
          <w:p w:rsidR="00170FB2" w:rsidRDefault="00170FB2">
            <w:pPr>
              <w:pStyle w:val="ConsPlusNormal"/>
            </w:pPr>
          </w:p>
        </w:tc>
        <w:tc>
          <w:tcPr>
            <w:tcW w:w="680" w:type="dxa"/>
          </w:tcPr>
          <w:p w:rsidR="00170FB2" w:rsidRDefault="00170FB2">
            <w:pPr>
              <w:pStyle w:val="ConsPlusNormal"/>
            </w:pPr>
          </w:p>
        </w:tc>
        <w:tc>
          <w:tcPr>
            <w:tcW w:w="737" w:type="dxa"/>
          </w:tcPr>
          <w:p w:rsidR="00170FB2" w:rsidRDefault="00170FB2">
            <w:pPr>
              <w:pStyle w:val="ConsPlusNormal"/>
            </w:pPr>
          </w:p>
        </w:tc>
        <w:tc>
          <w:tcPr>
            <w:tcW w:w="79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17" w:type="dxa"/>
          </w:tcPr>
          <w:p w:rsidR="00170FB2" w:rsidRDefault="00170FB2">
            <w:pPr>
              <w:pStyle w:val="ConsPlusNormal"/>
            </w:pPr>
          </w:p>
        </w:tc>
        <w:tc>
          <w:tcPr>
            <w:tcW w:w="850" w:type="dxa"/>
          </w:tcPr>
          <w:p w:rsidR="00170FB2" w:rsidRDefault="00170FB2">
            <w:pPr>
              <w:pStyle w:val="ConsPlusNormal"/>
            </w:pPr>
          </w:p>
        </w:tc>
      </w:tr>
    </w:tbl>
    <w:p w:rsidR="00170FB2" w:rsidRDefault="00170FB2">
      <w:pPr>
        <w:pStyle w:val="ConsPlusNormal"/>
        <w:jc w:val="both"/>
      </w:pPr>
    </w:p>
    <w:p w:rsidR="00170FB2" w:rsidRDefault="00170FB2">
      <w:pPr>
        <w:pStyle w:val="ConsPlusNormal"/>
        <w:jc w:val="center"/>
        <w:outlineLvl w:val="2"/>
      </w:pPr>
      <w:r>
        <w:t>2. Примерная форма базы наставников</w:t>
      </w:r>
    </w:p>
    <w:p w:rsidR="00170FB2" w:rsidRDefault="00170F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840"/>
        <w:gridCol w:w="888"/>
        <w:gridCol w:w="794"/>
        <w:gridCol w:w="965"/>
        <w:gridCol w:w="893"/>
        <w:gridCol w:w="567"/>
        <w:gridCol w:w="737"/>
        <w:gridCol w:w="1090"/>
        <w:gridCol w:w="864"/>
        <w:gridCol w:w="850"/>
        <w:gridCol w:w="567"/>
        <w:gridCol w:w="1042"/>
        <w:gridCol w:w="869"/>
        <w:gridCol w:w="624"/>
        <w:gridCol w:w="1191"/>
      </w:tblGrid>
      <w:tr w:rsidR="00170FB2">
        <w:tc>
          <w:tcPr>
            <w:tcW w:w="340" w:type="dxa"/>
          </w:tcPr>
          <w:p w:rsidR="00170FB2" w:rsidRDefault="00170FB2">
            <w:pPr>
              <w:pStyle w:val="ConsPlusNormal"/>
            </w:pPr>
          </w:p>
        </w:tc>
        <w:tc>
          <w:tcPr>
            <w:tcW w:w="840" w:type="dxa"/>
          </w:tcPr>
          <w:p w:rsidR="00170FB2" w:rsidRDefault="00170FB2">
            <w:pPr>
              <w:pStyle w:val="ConsPlusNormal"/>
              <w:jc w:val="center"/>
            </w:pPr>
            <w:r>
              <w:t>ФИО наставника</w:t>
            </w:r>
          </w:p>
        </w:tc>
        <w:tc>
          <w:tcPr>
            <w:tcW w:w="888" w:type="dxa"/>
          </w:tcPr>
          <w:p w:rsidR="00170FB2" w:rsidRDefault="00170FB2">
            <w:pPr>
              <w:pStyle w:val="ConsPlusNormal"/>
              <w:jc w:val="center"/>
            </w:pPr>
            <w:r>
              <w:t>Контактные данные для связи</w:t>
            </w:r>
          </w:p>
        </w:tc>
        <w:tc>
          <w:tcPr>
            <w:tcW w:w="794" w:type="dxa"/>
          </w:tcPr>
          <w:p w:rsidR="00170FB2" w:rsidRDefault="00170FB2">
            <w:pPr>
              <w:pStyle w:val="ConsPlusNormal"/>
              <w:jc w:val="center"/>
            </w:pPr>
            <w:r>
              <w:t>Место работы/учебы наставника</w:t>
            </w:r>
          </w:p>
        </w:tc>
        <w:tc>
          <w:tcPr>
            <w:tcW w:w="965" w:type="dxa"/>
          </w:tcPr>
          <w:p w:rsidR="00170FB2" w:rsidRDefault="00170FB2">
            <w:pPr>
              <w:pStyle w:val="ConsPlusNormal"/>
              <w:jc w:val="center"/>
            </w:pPr>
            <w:r>
              <w:t>Основные компетенции наставника</w:t>
            </w:r>
          </w:p>
        </w:tc>
        <w:tc>
          <w:tcPr>
            <w:tcW w:w="893" w:type="dxa"/>
          </w:tcPr>
          <w:p w:rsidR="00170FB2" w:rsidRDefault="00170FB2">
            <w:pPr>
              <w:pStyle w:val="ConsPlusNormal"/>
              <w:jc w:val="center"/>
            </w:pPr>
            <w:r>
              <w:t>Важные для программы достижения наставника</w:t>
            </w:r>
          </w:p>
        </w:tc>
        <w:tc>
          <w:tcPr>
            <w:tcW w:w="567" w:type="dxa"/>
          </w:tcPr>
          <w:p w:rsidR="00170FB2" w:rsidRDefault="00170FB2">
            <w:pPr>
              <w:pStyle w:val="ConsPlusNormal"/>
              <w:jc w:val="center"/>
            </w:pPr>
            <w:r>
              <w:t>Интересы наставника</w:t>
            </w:r>
          </w:p>
        </w:tc>
        <w:tc>
          <w:tcPr>
            <w:tcW w:w="737" w:type="dxa"/>
          </w:tcPr>
          <w:p w:rsidR="00170FB2" w:rsidRDefault="00170FB2">
            <w:pPr>
              <w:pStyle w:val="ConsPlusNormal"/>
              <w:jc w:val="center"/>
            </w:pPr>
            <w:r>
              <w:t xml:space="preserve">Желаемый возраст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1090" w:type="dxa"/>
          </w:tcPr>
          <w:p w:rsidR="00170FB2" w:rsidRDefault="00170FB2">
            <w:pPr>
              <w:pStyle w:val="ConsPlusNormal"/>
              <w:jc w:val="center"/>
            </w:pPr>
            <w:r>
              <w:t>Ресурс времени на программу наставничества</w:t>
            </w:r>
          </w:p>
        </w:tc>
        <w:tc>
          <w:tcPr>
            <w:tcW w:w="864" w:type="dxa"/>
          </w:tcPr>
          <w:p w:rsidR="00170FB2" w:rsidRDefault="00170FB2">
            <w:pPr>
              <w:pStyle w:val="ConsPlusNormal"/>
              <w:jc w:val="center"/>
            </w:pPr>
            <w:r>
              <w:t>Дата вхождения в программу</w:t>
            </w:r>
          </w:p>
        </w:tc>
        <w:tc>
          <w:tcPr>
            <w:tcW w:w="850" w:type="dxa"/>
          </w:tcPr>
          <w:p w:rsidR="00170FB2" w:rsidRDefault="00170FB2">
            <w:pPr>
              <w:pStyle w:val="ConsPlusNormal"/>
              <w:jc w:val="center"/>
            </w:pPr>
            <w:r>
              <w:t xml:space="preserve">ФИО </w:t>
            </w:r>
            <w:proofErr w:type="gramStart"/>
            <w:r>
              <w:t>наставляемого</w:t>
            </w:r>
            <w:proofErr w:type="gramEnd"/>
            <w:r>
              <w:t xml:space="preserve"> (наставляемых)</w:t>
            </w:r>
          </w:p>
        </w:tc>
        <w:tc>
          <w:tcPr>
            <w:tcW w:w="567" w:type="dxa"/>
          </w:tcPr>
          <w:p w:rsidR="00170FB2" w:rsidRDefault="00170FB2">
            <w:pPr>
              <w:pStyle w:val="ConsPlusNormal"/>
              <w:jc w:val="center"/>
            </w:pPr>
            <w:r>
              <w:t>Форма наставничества</w:t>
            </w:r>
          </w:p>
        </w:tc>
        <w:tc>
          <w:tcPr>
            <w:tcW w:w="1042" w:type="dxa"/>
          </w:tcPr>
          <w:p w:rsidR="00170FB2" w:rsidRDefault="00170FB2">
            <w:pPr>
              <w:pStyle w:val="ConsPlusNormal"/>
              <w:jc w:val="center"/>
            </w:pPr>
            <w:r>
              <w:t xml:space="preserve">Место работы/учебы </w:t>
            </w:r>
            <w:proofErr w:type="gramStart"/>
            <w:r>
              <w:t>наставляемого</w:t>
            </w:r>
            <w:proofErr w:type="gramEnd"/>
          </w:p>
        </w:tc>
        <w:tc>
          <w:tcPr>
            <w:tcW w:w="869" w:type="dxa"/>
          </w:tcPr>
          <w:p w:rsidR="00170FB2" w:rsidRDefault="00170FB2">
            <w:pPr>
              <w:pStyle w:val="ConsPlusNormal"/>
              <w:jc w:val="center"/>
            </w:pPr>
            <w:r>
              <w:t>Дата завершения программы</w:t>
            </w:r>
          </w:p>
        </w:tc>
        <w:tc>
          <w:tcPr>
            <w:tcW w:w="624" w:type="dxa"/>
          </w:tcPr>
          <w:p w:rsidR="00170FB2" w:rsidRDefault="00170FB2">
            <w:pPr>
              <w:pStyle w:val="ConsPlusNormal"/>
              <w:jc w:val="center"/>
            </w:pPr>
            <w:r>
              <w:t>Результаты программы</w:t>
            </w:r>
          </w:p>
        </w:tc>
        <w:tc>
          <w:tcPr>
            <w:tcW w:w="1191" w:type="dxa"/>
          </w:tcPr>
          <w:p w:rsidR="00170FB2" w:rsidRDefault="00170FB2">
            <w:pPr>
              <w:pStyle w:val="ConsPlusNormal"/>
              <w:jc w:val="center"/>
            </w:pPr>
            <w:r>
              <w:t>Ссылка на кейс/отзыв наставника, размещенные на сайте организации</w:t>
            </w:r>
          </w:p>
        </w:tc>
      </w:tr>
      <w:tr w:rsidR="00170FB2">
        <w:tc>
          <w:tcPr>
            <w:tcW w:w="340" w:type="dxa"/>
            <w:vAlign w:val="center"/>
          </w:tcPr>
          <w:p w:rsidR="00170FB2" w:rsidRDefault="00170F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170FB2" w:rsidRDefault="00170FB2">
            <w:pPr>
              <w:pStyle w:val="ConsPlusNormal"/>
            </w:pPr>
          </w:p>
        </w:tc>
        <w:tc>
          <w:tcPr>
            <w:tcW w:w="888" w:type="dxa"/>
          </w:tcPr>
          <w:p w:rsidR="00170FB2" w:rsidRDefault="00170FB2">
            <w:pPr>
              <w:pStyle w:val="ConsPlusNormal"/>
            </w:pPr>
          </w:p>
        </w:tc>
        <w:tc>
          <w:tcPr>
            <w:tcW w:w="79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965" w:type="dxa"/>
          </w:tcPr>
          <w:p w:rsidR="00170FB2" w:rsidRDefault="00170FB2">
            <w:pPr>
              <w:pStyle w:val="ConsPlusNormal"/>
            </w:pPr>
          </w:p>
        </w:tc>
        <w:tc>
          <w:tcPr>
            <w:tcW w:w="893" w:type="dxa"/>
          </w:tcPr>
          <w:p w:rsidR="00170FB2" w:rsidRDefault="00170FB2">
            <w:pPr>
              <w:pStyle w:val="ConsPlusNormal"/>
            </w:pPr>
          </w:p>
        </w:tc>
        <w:tc>
          <w:tcPr>
            <w:tcW w:w="567" w:type="dxa"/>
          </w:tcPr>
          <w:p w:rsidR="00170FB2" w:rsidRDefault="00170FB2">
            <w:pPr>
              <w:pStyle w:val="ConsPlusNormal"/>
            </w:pPr>
          </w:p>
        </w:tc>
        <w:tc>
          <w:tcPr>
            <w:tcW w:w="737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090" w:type="dxa"/>
          </w:tcPr>
          <w:p w:rsidR="00170FB2" w:rsidRDefault="00170FB2">
            <w:pPr>
              <w:pStyle w:val="ConsPlusNormal"/>
            </w:pPr>
          </w:p>
        </w:tc>
        <w:tc>
          <w:tcPr>
            <w:tcW w:w="86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850" w:type="dxa"/>
          </w:tcPr>
          <w:p w:rsidR="00170FB2" w:rsidRDefault="00170FB2">
            <w:pPr>
              <w:pStyle w:val="ConsPlusNormal"/>
            </w:pPr>
          </w:p>
        </w:tc>
        <w:tc>
          <w:tcPr>
            <w:tcW w:w="567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042" w:type="dxa"/>
          </w:tcPr>
          <w:p w:rsidR="00170FB2" w:rsidRDefault="00170FB2">
            <w:pPr>
              <w:pStyle w:val="ConsPlusNormal"/>
            </w:pPr>
          </w:p>
        </w:tc>
        <w:tc>
          <w:tcPr>
            <w:tcW w:w="869" w:type="dxa"/>
          </w:tcPr>
          <w:p w:rsidR="00170FB2" w:rsidRDefault="00170FB2">
            <w:pPr>
              <w:pStyle w:val="ConsPlusNormal"/>
            </w:pPr>
          </w:p>
        </w:tc>
        <w:tc>
          <w:tcPr>
            <w:tcW w:w="62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191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340" w:type="dxa"/>
            <w:vAlign w:val="center"/>
          </w:tcPr>
          <w:p w:rsidR="00170FB2" w:rsidRDefault="00170F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170FB2" w:rsidRDefault="00170FB2">
            <w:pPr>
              <w:pStyle w:val="ConsPlusNormal"/>
            </w:pPr>
          </w:p>
        </w:tc>
        <w:tc>
          <w:tcPr>
            <w:tcW w:w="888" w:type="dxa"/>
          </w:tcPr>
          <w:p w:rsidR="00170FB2" w:rsidRDefault="00170FB2">
            <w:pPr>
              <w:pStyle w:val="ConsPlusNormal"/>
            </w:pPr>
          </w:p>
        </w:tc>
        <w:tc>
          <w:tcPr>
            <w:tcW w:w="79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965" w:type="dxa"/>
          </w:tcPr>
          <w:p w:rsidR="00170FB2" w:rsidRDefault="00170FB2">
            <w:pPr>
              <w:pStyle w:val="ConsPlusNormal"/>
            </w:pPr>
          </w:p>
        </w:tc>
        <w:tc>
          <w:tcPr>
            <w:tcW w:w="893" w:type="dxa"/>
          </w:tcPr>
          <w:p w:rsidR="00170FB2" w:rsidRDefault="00170FB2">
            <w:pPr>
              <w:pStyle w:val="ConsPlusNormal"/>
            </w:pPr>
          </w:p>
        </w:tc>
        <w:tc>
          <w:tcPr>
            <w:tcW w:w="567" w:type="dxa"/>
          </w:tcPr>
          <w:p w:rsidR="00170FB2" w:rsidRDefault="00170FB2">
            <w:pPr>
              <w:pStyle w:val="ConsPlusNormal"/>
            </w:pPr>
          </w:p>
        </w:tc>
        <w:tc>
          <w:tcPr>
            <w:tcW w:w="737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090" w:type="dxa"/>
          </w:tcPr>
          <w:p w:rsidR="00170FB2" w:rsidRDefault="00170FB2">
            <w:pPr>
              <w:pStyle w:val="ConsPlusNormal"/>
            </w:pPr>
          </w:p>
        </w:tc>
        <w:tc>
          <w:tcPr>
            <w:tcW w:w="86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850" w:type="dxa"/>
          </w:tcPr>
          <w:p w:rsidR="00170FB2" w:rsidRDefault="00170FB2">
            <w:pPr>
              <w:pStyle w:val="ConsPlusNormal"/>
            </w:pPr>
          </w:p>
        </w:tc>
        <w:tc>
          <w:tcPr>
            <w:tcW w:w="567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042" w:type="dxa"/>
          </w:tcPr>
          <w:p w:rsidR="00170FB2" w:rsidRDefault="00170FB2">
            <w:pPr>
              <w:pStyle w:val="ConsPlusNormal"/>
            </w:pPr>
          </w:p>
        </w:tc>
        <w:tc>
          <w:tcPr>
            <w:tcW w:w="869" w:type="dxa"/>
          </w:tcPr>
          <w:p w:rsidR="00170FB2" w:rsidRDefault="00170FB2">
            <w:pPr>
              <w:pStyle w:val="ConsPlusNormal"/>
            </w:pPr>
          </w:p>
        </w:tc>
        <w:tc>
          <w:tcPr>
            <w:tcW w:w="62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191" w:type="dxa"/>
          </w:tcPr>
          <w:p w:rsidR="00170FB2" w:rsidRDefault="00170FB2">
            <w:pPr>
              <w:pStyle w:val="ConsPlusNormal"/>
            </w:pPr>
          </w:p>
        </w:tc>
      </w:tr>
    </w:tbl>
    <w:p w:rsidR="00170FB2" w:rsidRDefault="00170FB2">
      <w:pPr>
        <w:sectPr w:rsidR="00170F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70FB2" w:rsidRDefault="00170FB2">
      <w:pPr>
        <w:pStyle w:val="ConsPlusNormal"/>
        <w:jc w:val="both"/>
      </w:pPr>
    </w:p>
    <w:p w:rsidR="00170FB2" w:rsidRDefault="00170FB2">
      <w:pPr>
        <w:pStyle w:val="ConsPlusNormal"/>
        <w:jc w:val="center"/>
        <w:outlineLvl w:val="2"/>
      </w:pPr>
      <w:bookmarkStart w:id="3" w:name="P472"/>
      <w:bookmarkEnd w:id="3"/>
      <w:r>
        <w:t>3. Примерная форма дорожной карты внедрения целевой модели</w:t>
      </w:r>
    </w:p>
    <w:p w:rsidR="00170FB2" w:rsidRDefault="00170FB2">
      <w:pPr>
        <w:pStyle w:val="ConsPlusNormal"/>
        <w:jc w:val="center"/>
      </w:pPr>
      <w:r>
        <w:t>наставничества в образовательной организации</w:t>
      </w:r>
    </w:p>
    <w:p w:rsidR="00170FB2" w:rsidRDefault="00170F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1134"/>
        <w:gridCol w:w="1474"/>
      </w:tblGrid>
      <w:tr w:rsidR="00170FB2">
        <w:tc>
          <w:tcPr>
            <w:tcW w:w="6463" w:type="dxa"/>
          </w:tcPr>
          <w:p w:rsidR="00170FB2" w:rsidRDefault="00170FB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134" w:type="dxa"/>
          </w:tcPr>
          <w:p w:rsidR="00170FB2" w:rsidRDefault="00170FB2">
            <w:pPr>
              <w:pStyle w:val="ConsPlusNormal"/>
              <w:jc w:val="center"/>
            </w:pPr>
            <w:r>
              <w:t>Сроки</w:t>
            </w:r>
          </w:p>
        </w:tc>
        <w:tc>
          <w:tcPr>
            <w:tcW w:w="1474" w:type="dxa"/>
          </w:tcPr>
          <w:p w:rsidR="00170FB2" w:rsidRDefault="00170FB2">
            <w:pPr>
              <w:pStyle w:val="ConsPlusNormal"/>
              <w:jc w:val="center"/>
            </w:pPr>
            <w:r>
              <w:t>Ответственные</w:t>
            </w: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13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13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13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t xml:space="preserve">Встреча с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134" w:type="dxa"/>
            <w:vMerge w:val="restart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134" w:type="dxa"/>
            <w:vMerge/>
          </w:tcPr>
          <w:p w:rsidR="00170FB2" w:rsidRDefault="00170FB2"/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t>Сбор дополнительной информации о запросах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13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t xml:space="preserve">Анализ полученных от наставляемых и третьих лиц данных. Формирование базы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113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13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13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13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13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13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13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lastRenderedPageBreak/>
              <w:t xml:space="preserve">Поиск экспертов и материалов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проведение</w:t>
            </w:r>
            <w:proofErr w:type="gramEnd"/>
            <w:r>
              <w:t xml:space="preserve"> обучения наставников</w:t>
            </w:r>
          </w:p>
        </w:tc>
        <w:tc>
          <w:tcPr>
            <w:tcW w:w="113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t>Обучение наставников</w:t>
            </w:r>
          </w:p>
        </w:tc>
        <w:tc>
          <w:tcPr>
            <w:tcW w:w="113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t>Организация групповой встречи наставников и наставляемых</w:t>
            </w:r>
          </w:p>
        </w:tc>
        <w:tc>
          <w:tcPr>
            <w:tcW w:w="113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13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13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13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t>Проведение первой, организационной, встречи наставника и наставляемого</w:t>
            </w:r>
          </w:p>
        </w:tc>
        <w:tc>
          <w:tcPr>
            <w:tcW w:w="113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t>Проведение второй, пробной рабочей, встречи наставника и наставляемого</w:t>
            </w:r>
          </w:p>
        </w:tc>
        <w:tc>
          <w:tcPr>
            <w:tcW w:w="113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13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t>Регулярные встречи наставника и наставляемого</w:t>
            </w:r>
          </w:p>
        </w:tc>
        <w:tc>
          <w:tcPr>
            <w:tcW w:w="113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t>Сроки сбора обратной связи от участников программы наставничества</w:t>
            </w:r>
          </w:p>
        </w:tc>
        <w:tc>
          <w:tcPr>
            <w:tcW w:w="113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t>Проведение заключительной встречи наставника и наставляемого</w:t>
            </w:r>
          </w:p>
        </w:tc>
        <w:tc>
          <w:tcPr>
            <w:tcW w:w="113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13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13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113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13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t xml:space="preserve">Проведение </w:t>
            </w:r>
            <w:proofErr w:type="gramStart"/>
            <w: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113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13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13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lastRenderedPageBreak/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13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  <w:tr w:rsidR="00170FB2">
        <w:tc>
          <w:tcPr>
            <w:tcW w:w="6463" w:type="dxa"/>
            <w:vAlign w:val="center"/>
          </w:tcPr>
          <w:p w:rsidR="00170FB2" w:rsidRDefault="00170FB2">
            <w:pPr>
              <w:pStyle w:val="ConsPlusNormal"/>
            </w:pPr>
            <w: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134" w:type="dxa"/>
          </w:tcPr>
          <w:p w:rsidR="00170FB2" w:rsidRDefault="00170FB2">
            <w:pPr>
              <w:pStyle w:val="ConsPlusNormal"/>
            </w:pPr>
          </w:p>
        </w:tc>
        <w:tc>
          <w:tcPr>
            <w:tcW w:w="1474" w:type="dxa"/>
          </w:tcPr>
          <w:p w:rsidR="00170FB2" w:rsidRDefault="00170FB2">
            <w:pPr>
              <w:pStyle w:val="ConsPlusNormal"/>
            </w:pPr>
          </w:p>
        </w:tc>
      </w:tr>
    </w:tbl>
    <w:p w:rsidR="00170FB2" w:rsidRDefault="00170FB2">
      <w:pPr>
        <w:pStyle w:val="ConsPlusNormal"/>
        <w:jc w:val="both"/>
      </w:pPr>
    </w:p>
    <w:p w:rsidR="00170FB2" w:rsidRDefault="00170FB2">
      <w:pPr>
        <w:pStyle w:val="ConsPlusNormal"/>
        <w:jc w:val="both"/>
      </w:pPr>
    </w:p>
    <w:p w:rsidR="00170FB2" w:rsidRDefault="00170F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18B" w:rsidRDefault="00F1718B">
      <w:bookmarkStart w:id="4" w:name="_GoBack"/>
      <w:bookmarkEnd w:id="4"/>
    </w:p>
    <w:sectPr w:rsidR="00F1718B" w:rsidSect="00BA160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B2"/>
    <w:rsid w:val="00170FB2"/>
    <w:rsid w:val="00BF5808"/>
    <w:rsid w:val="00CC4C68"/>
    <w:rsid w:val="00D96D66"/>
    <w:rsid w:val="00DE5A44"/>
    <w:rsid w:val="00F1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0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0F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0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0F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6CDB54DB6112CF8D8628BF17E765DBBDD1513B60C4D3BEEB87F0A890DC5E5D56D0914017EB5DEDD22DB8B99554CF7FF783403B4A400F826FJAF" TargetMode="External"/><Relationship Id="rId13" Type="http://schemas.openxmlformats.org/officeDocument/2006/relationships/hyperlink" Target="consultantplus://offline/ref=366CDB54DB6112CF8D8636A402E765DBBFD8583C60CED3BEEB87F0A890DC5E5D56D0914017EB55EFDB2DB8B99554CF7FF783403B4A400F826FJAF" TargetMode="External"/><Relationship Id="rId18" Type="http://schemas.openxmlformats.org/officeDocument/2006/relationships/hyperlink" Target="consultantplus://offline/ref=366CDB54DB6112CF8D8628BF17E765DBBDD5503062C9D3BEEB87F0A890DC5E5D44D0C94C16ED4BEED038EEE8D360J1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6CDB54DB6112CF8D8628BF17E765DBBDD3513A61C9D3BEEB87F0A890DC5E5D44D0C94C16ED4BEED038EEE8D360J1F" TargetMode="External"/><Relationship Id="rId7" Type="http://schemas.openxmlformats.org/officeDocument/2006/relationships/hyperlink" Target="consultantplus://offline/ref=366CDB54DB6112CF8D8628BF17E765DBBDD1513B60C4D3BEEB87F0A890DC5E5D56D0914017EB56EBD02DB8B99554CF7FF783403B4A400F826FJAF" TargetMode="External"/><Relationship Id="rId12" Type="http://schemas.openxmlformats.org/officeDocument/2006/relationships/hyperlink" Target="consultantplus://offline/ref=366CDB54DB6112CF8D8636A402E765DBBFD8583C60CED3BEEB87F0A890DC5E5D56D0914017EB55EFDB2DB8B99554CF7FF783403B4A400F826FJAF" TargetMode="External"/><Relationship Id="rId17" Type="http://schemas.openxmlformats.org/officeDocument/2006/relationships/hyperlink" Target="consultantplus://offline/ref=366CDB54DB6112CF8D8628BF17E765DBBCD85F3D6B9A84BCBAD2FEAD988C044D40999D4709EA57F1D026EE6EJ8F" TargetMode="External"/><Relationship Id="rId25" Type="http://schemas.openxmlformats.org/officeDocument/2006/relationships/hyperlink" Target="consultantplus://offline/ref=366CDB54DB6112CF8D8628BF17E765DBBDD45F3863C8D3BEEB87F0A890DC5E5D56D0914017EB56E6D12DB8B99554CF7FF783403B4A400F826FJ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6CDB54DB6112CF8D8633AB01E765DBB8D2513A60C78EB4E3DEFCAA97D3015851C1914011F554EDCC24ECEA6DJ1F" TargetMode="External"/><Relationship Id="rId20" Type="http://schemas.openxmlformats.org/officeDocument/2006/relationships/hyperlink" Target="consultantplus://offline/ref=366CDB54DB6112CF8D8628BF17E765DBBDD4513E67CAD3BEEB87F0A890DC5E5D44D0C94C16ED4BEED038EEE8D360J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6CDB54DB6112CF8D8628BF17E765DBBDD1513B60C4D3BEEB87F0A890DC5E5D56D0914017EB54EADB2DB8B99554CF7FF783403B4A400F826FJAF" TargetMode="External"/><Relationship Id="rId11" Type="http://schemas.openxmlformats.org/officeDocument/2006/relationships/hyperlink" Target="consultantplus://offline/ref=366CDB54DB6112CF8D8628BF17E765DBBDD1513B60C4D3BEEB87F0A890DC5E5D56D0914017EB56EBD02DB8B99554CF7FF783403B4A400F826FJAF" TargetMode="External"/><Relationship Id="rId24" Type="http://schemas.openxmlformats.org/officeDocument/2006/relationships/hyperlink" Target="consultantplus://offline/ref=366CDB54DB6112CF8D8636A402E765DBBFD7593063C9D3BEEB87F0A890DC5E5D56D0914017EB54EFD12DB8B99554CF7FF783403B4A400F826FJA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66CDB54DB6112CF8D863FB600E765DBBDD65C3865C78EB4E3DEFCAA97D3015851C1914011F554EDCC24ECEA6DJ1F" TargetMode="External"/><Relationship Id="rId23" Type="http://schemas.openxmlformats.org/officeDocument/2006/relationships/hyperlink" Target="consultantplus://offline/ref=366CDB54DB6112CF8D8628BF17E765DBBDD3503A65C5D3BEEB87F0A890DC5E5D56D0914017EB55EBDB2DB8B99554CF7FF783403B4A400F826FJAF" TargetMode="External"/><Relationship Id="rId10" Type="http://schemas.openxmlformats.org/officeDocument/2006/relationships/hyperlink" Target="consultantplus://offline/ref=366CDB54DB6112CF8D8628BF17E765DBBDD1513B60C4D3BEEB87F0A890DC5E5D56D0914017EB5DEDD22DB8B99554CF7FF783403B4A400F826FJAF" TargetMode="External"/><Relationship Id="rId19" Type="http://schemas.openxmlformats.org/officeDocument/2006/relationships/hyperlink" Target="consultantplus://offline/ref=366CDB54DB6112CF8D8628BF17E765DBBDD65F3B60CDD3BEEB87F0A890DC5E5D44D0C94C16ED4BEED038EEE8D360J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6CDB54DB6112CF8D8628BF17E765DBBDD1513B60C4D3BEEB87F0A890DC5E5D56D0914017EB54EADB2DB8B99554CF7FF783403B4A400F826FJAF" TargetMode="External"/><Relationship Id="rId14" Type="http://schemas.openxmlformats.org/officeDocument/2006/relationships/hyperlink" Target="consultantplus://offline/ref=366CDB54DB6112CF8D8628BF17E765DBB7D95D316B9A84BCBAD2FEAD988C044D40999D4709EA57F1D026EE6EJ8F" TargetMode="External"/><Relationship Id="rId22" Type="http://schemas.openxmlformats.org/officeDocument/2006/relationships/hyperlink" Target="consultantplus://offline/ref=366CDB54DB6112CF8D8628BF17E765DBBDD4503860CDD3BEEB87F0A890DC5E5D44D0C94C16ED4BEED038EEE8D360J1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8359</Words>
  <Characters>47648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2020-12-16T05:09:00Z</dcterms:created>
  <dcterms:modified xsi:type="dcterms:W3CDTF">2020-12-16T05:12:00Z</dcterms:modified>
</cp:coreProperties>
</file>