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E3" w:rsidRPr="007015E7" w:rsidRDefault="00267BE3" w:rsidP="00267B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15E7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267BE3" w:rsidRPr="007015E7" w:rsidRDefault="00267BE3" w:rsidP="00267B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15E7">
        <w:rPr>
          <w:rFonts w:ascii="Times New Roman" w:eastAsia="Calibri" w:hAnsi="Times New Roman" w:cs="Times New Roman"/>
          <w:b/>
          <w:sz w:val="24"/>
          <w:szCs w:val="24"/>
        </w:rPr>
        <w:t>продуктов деятельности краевой инновационной площадки на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7015E7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267BE3" w:rsidRPr="00602495" w:rsidRDefault="00267BE3" w:rsidP="00267BE3">
      <w:pPr>
        <w:pStyle w:val="a3"/>
        <w:tabs>
          <w:tab w:val="left" w:pos="990"/>
        </w:tabs>
        <w:ind w:left="810" w:right="108" w:firstLine="0"/>
        <w:jc w:val="center"/>
        <w:rPr>
          <w:rFonts w:eastAsia="Times New Roman"/>
          <w:sz w:val="24"/>
        </w:rPr>
      </w:pPr>
      <w:r w:rsidRPr="007015E7">
        <w:rPr>
          <w:b/>
          <w:sz w:val="24"/>
          <w:szCs w:val="24"/>
        </w:rPr>
        <w:t xml:space="preserve">по теме: </w:t>
      </w:r>
      <w:bookmarkStart w:id="0" w:name="_GoBack"/>
      <w:r w:rsidRPr="007015E7">
        <w:rPr>
          <w:sz w:val="24"/>
          <w:szCs w:val="24"/>
        </w:rPr>
        <w:t>«</w:t>
      </w:r>
      <w:r w:rsidRPr="00602495">
        <w:rPr>
          <w:rFonts w:eastAsia="Times New Roman"/>
          <w:sz w:val="24"/>
        </w:rPr>
        <w:t xml:space="preserve">Потенциал   сетевого   взаимодействия   </w:t>
      </w:r>
      <w:proofErr w:type="gramStart"/>
      <w:r w:rsidRPr="00602495">
        <w:rPr>
          <w:rFonts w:eastAsia="Times New Roman"/>
          <w:sz w:val="24"/>
        </w:rPr>
        <w:t xml:space="preserve">организаций </w:t>
      </w:r>
      <w:r w:rsidRPr="00602495">
        <w:rPr>
          <w:rFonts w:eastAsia="Times New Roman"/>
          <w:spacing w:val="29"/>
          <w:sz w:val="24"/>
        </w:rPr>
        <w:t xml:space="preserve"> </w:t>
      </w:r>
      <w:r w:rsidRPr="00602495">
        <w:rPr>
          <w:rFonts w:eastAsia="Times New Roman"/>
          <w:sz w:val="24"/>
        </w:rPr>
        <w:t>в</w:t>
      </w:r>
      <w:proofErr w:type="gramEnd"/>
    </w:p>
    <w:p w:rsidR="00267BE3" w:rsidRPr="007015E7" w:rsidRDefault="00267BE3" w:rsidP="00267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повышении качества </w:t>
      </w:r>
      <w:r w:rsidRPr="00602495">
        <w:rPr>
          <w:rFonts w:ascii="Times New Roman" w:eastAsia="Times New Roman" w:hAnsi="Times New Roman" w:cs="Times New Roman"/>
        </w:rPr>
        <w:t>образован</w:t>
      </w:r>
      <w:r>
        <w:rPr>
          <w:rFonts w:ascii="Times New Roman" w:eastAsia="Times New Roman" w:hAnsi="Times New Roman" w:cs="Times New Roman"/>
        </w:rPr>
        <w:t xml:space="preserve">ия </w:t>
      </w:r>
      <w:r>
        <w:rPr>
          <w:rFonts w:ascii="Times New Roman" w:eastAsia="Times New Roman" w:hAnsi="Times New Roman" w:cs="Times New Roman"/>
        </w:rPr>
        <w:tab/>
        <w:t>будущих</w:t>
      </w:r>
      <w:r>
        <w:rPr>
          <w:rFonts w:ascii="Times New Roman" w:eastAsia="Times New Roman" w:hAnsi="Times New Roman" w:cs="Times New Roman"/>
        </w:rPr>
        <w:tab/>
        <w:t>педагогов</w:t>
      </w:r>
      <w:r>
        <w:rPr>
          <w:rFonts w:ascii="Times New Roman" w:eastAsia="Times New Roman" w:hAnsi="Times New Roman" w:cs="Times New Roman"/>
        </w:rPr>
        <w:tab/>
        <w:t xml:space="preserve">дошкольных </w:t>
      </w:r>
      <w:r w:rsidRPr="00602495">
        <w:rPr>
          <w:rFonts w:ascii="Times New Roman" w:eastAsia="Times New Roman" w:hAnsi="Times New Roman" w:cs="Times New Roman"/>
        </w:rPr>
        <w:t>образовательных организаций</w:t>
      </w:r>
      <w:r w:rsidRPr="007015E7">
        <w:rPr>
          <w:rFonts w:ascii="Times New Roman" w:hAnsi="Times New Roman" w:cs="Times New Roman"/>
          <w:sz w:val="24"/>
          <w:szCs w:val="24"/>
        </w:rPr>
        <w:t>»</w:t>
      </w:r>
    </w:p>
    <w:p w:rsidR="00267BE3" w:rsidRPr="007015E7" w:rsidRDefault="00267BE3" w:rsidP="00267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5E7"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015E7">
        <w:rPr>
          <w:rFonts w:ascii="Times New Roman" w:hAnsi="Times New Roman" w:cs="Times New Roman"/>
          <w:sz w:val="24"/>
          <w:szCs w:val="24"/>
        </w:rPr>
        <w:t>раевого государственного бюджетного профессионального образовательного учреждения «Чегдомынского горно-технологического техникума»</w:t>
      </w:r>
    </w:p>
    <w:p w:rsidR="00267BE3" w:rsidRPr="007015E7" w:rsidRDefault="00267BE3" w:rsidP="00267BE3">
      <w:pPr>
        <w:pStyle w:val="a3"/>
        <w:shd w:val="clear" w:color="auto" w:fill="FFFFFF"/>
        <w:ind w:left="-284"/>
        <w:jc w:val="center"/>
        <w:rPr>
          <w:b/>
          <w:sz w:val="24"/>
          <w:szCs w:val="24"/>
        </w:rPr>
      </w:pPr>
    </w:p>
    <w:tbl>
      <w:tblPr>
        <w:tblStyle w:val="a4"/>
        <w:tblW w:w="1017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6"/>
        <w:gridCol w:w="1701"/>
        <w:gridCol w:w="2693"/>
        <w:gridCol w:w="4111"/>
        <w:gridCol w:w="992"/>
      </w:tblGrid>
      <w:tr w:rsidR="00267BE3" w:rsidRPr="00962E51" w:rsidTr="00E43AA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:rsidR="00267BE3" w:rsidRPr="00962E51" w:rsidRDefault="00267BE3" w:rsidP="00E43AA5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962E51">
              <w:rPr>
                <w:sz w:val="24"/>
                <w:szCs w:val="24"/>
              </w:rPr>
              <w:t>№</w:t>
            </w:r>
          </w:p>
          <w:p w:rsidR="00267BE3" w:rsidRPr="00962E51" w:rsidRDefault="00267BE3" w:rsidP="00E43AA5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962E51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BE3" w:rsidRPr="00962E51" w:rsidRDefault="00267BE3" w:rsidP="00E43AA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62E51">
              <w:rPr>
                <w:sz w:val="24"/>
                <w:szCs w:val="24"/>
              </w:rPr>
              <w:t>Вид продукта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BE3" w:rsidRPr="00962E51" w:rsidRDefault="00267BE3" w:rsidP="00E43AA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62E5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7BE3" w:rsidRPr="00962E51" w:rsidRDefault="00267BE3" w:rsidP="00E43AA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62E51">
              <w:rPr>
                <w:sz w:val="24"/>
                <w:szCs w:val="24"/>
              </w:rPr>
              <w:t>Краткая аннотация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E3" w:rsidRPr="00962E51" w:rsidRDefault="00267BE3" w:rsidP="00E4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51">
              <w:rPr>
                <w:rFonts w:ascii="Times New Roman" w:eastAsia="Calibri" w:hAnsi="Times New Roman" w:cs="Times New Roman"/>
                <w:sz w:val="24"/>
                <w:szCs w:val="24"/>
              </w:rPr>
              <w:t>Объем в листах</w:t>
            </w:r>
          </w:p>
        </w:tc>
      </w:tr>
      <w:tr w:rsidR="00267BE3" w:rsidRPr="00962E51" w:rsidTr="00E43AA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E3" w:rsidRPr="00962E51" w:rsidRDefault="00267BE3" w:rsidP="00E43AA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E3" w:rsidRPr="00962E51" w:rsidRDefault="00267BE3" w:rsidP="00E4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5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E3" w:rsidRPr="00962E51" w:rsidRDefault="00267BE3" w:rsidP="00E43AA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E5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267BE3" w:rsidRPr="00962E51" w:rsidRDefault="00267BE3" w:rsidP="00E43AA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самостоятельной работы по МДК 06.02 </w:t>
            </w:r>
            <w:r w:rsidRPr="00962E51">
              <w:rPr>
                <w:rFonts w:ascii="Times New Roman" w:hAnsi="Times New Roman" w:cs="Times New Roman"/>
                <w:sz w:val="24"/>
                <w:szCs w:val="24"/>
              </w:rPr>
              <w:t>Основы логопедии с практикумом по звукопроизношению</w:t>
            </w:r>
          </w:p>
          <w:p w:rsidR="00267BE3" w:rsidRPr="00962E51" w:rsidRDefault="00267BE3" w:rsidP="00E43AA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BE3" w:rsidRPr="00D66CEA" w:rsidRDefault="00267BE3" w:rsidP="00E43AA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C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самостоятельной работы по предмету «Основы логопедии с практикумом по звукопроизношению» предназначены для студентов очного отделения (4,5 курс на базе 9 классов и 2, 3 – на базе 11 классов) по специальности  «Дошкольное образование» с дополнительной подготовкой в области речевого развития детей. Данные рекомендации составлены с учётом Государственного образовательного стандарта профессионального образования нового поколения для обучения студентов педагогического колледжа и рабочей программы «Основы логопедии с практикумом по звукопроизношению.</w:t>
            </w:r>
          </w:p>
          <w:p w:rsidR="00267BE3" w:rsidRPr="00962E51" w:rsidRDefault="00267BE3" w:rsidP="00E43AA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C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Целью данного пособия является оказание помощи студентам в самостоятельной подготовке по вопросам содержания и организации коррекционной речевой работы с детьми дошкольного возраста.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E3" w:rsidRPr="00962E51" w:rsidRDefault="00267BE3" w:rsidP="00E43AA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стр.</w:t>
            </w:r>
          </w:p>
        </w:tc>
      </w:tr>
      <w:tr w:rsidR="00267BE3" w:rsidRPr="00962E51" w:rsidTr="00E43AA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E3" w:rsidRPr="00962E51" w:rsidRDefault="00267BE3" w:rsidP="00E43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E3" w:rsidRPr="00962E51" w:rsidRDefault="00267BE3" w:rsidP="00E4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EA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E3" w:rsidRPr="00962E51" w:rsidRDefault="00267BE3" w:rsidP="00E43AA5">
            <w:pPr>
              <w:ind w:left="109"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EA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Учебно-методическое пособие</w:t>
            </w:r>
            <w:r w:rsidRPr="00962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CEA">
              <w:rPr>
                <w:rFonts w:ascii="Times New Roman" w:eastAsia="Calibri" w:hAnsi="Times New Roman" w:cs="Times New Roman"/>
                <w:sz w:val="24"/>
                <w:szCs w:val="24"/>
              </w:rPr>
              <w:t>для подготовки к квалификационному экзамену по ПМ.03. 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BE3" w:rsidRPr="00D66CEA" w:rsidRDefault="00267BE3" w:rsidP="00E43AA5">
            <w:pPr>
              <w:ind w:left="10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УМП по </w:t>
            </w:r>
            <w:r w:rsidRPr="00D66CEA">
              <w:rPr>
                <w:rFonts w:ascii="Times New Roman" w:eastAsia="Calibri" w:hAnsi="Times New Roman" w:cs="Times New Roman"/>
                <w:sz w:val="24"/>
                <w:szCs w:val="24"/>
              </w:rPr>
              <w:t>ПМ.03. Организация занятий по основным общеобразовательным программам дошкольного образования</w:t>
            </w:r>
            <w:r w:rsidRPr="00D66C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разработано на основе Федерального государственного стандарта среднего профессионального образования (далее ФГОС СПО) </w:t>
            </w:r>
            <w:r w:rsidRPr="00D66CEA">
              <w:rPr>
                <w:rFonts w:ascii="Times New Roman" w:eastAsia="Calibri" w:hAnsi="Times New Roman" w:cs="Times New Roman"/>
                <w:sz w:val="24"/>
                <w:szCs w:val="24"/>
              </w:rPr>
              <w:t>44.02.01 Дошкольное образование</w:t>
            </w:r>
          </w:p>
          <w:p w:rsidR="00267BE3" w:rsidRPr="00962E51" w:rsidRDefault="00267BE3" w:rsidP="00E43AA5">
            <w:pPr>
              <w:ind w:left="109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E3" w:rsidRPr="00962E51" w:rsidRDefault="00267BE3" w:rsidP="00E43AA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стр.</w:t>
            </w:r>
          </w:p>
        </w:tc>
      </w:tr>
      <w:tr w:rsidR="00267BE3" w:rsidRPr="00962E51" w:rsidTr="00E43AA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E3" w:rsidRPr="00962E51" w:rsidRDefault="00267BE3" w:rsidP="00E43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E3" w:rsidRPr="00962E51" w:rsidRDefault="00267BE3" w:rsidP="00E4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Учебно-методический </w:t>
            </w:r>
            <w:r w:rsidRPr="00D66CEA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E3" w:rsidRPr="00D66CEA" w:rsidRDefault="00267BE3" w:rsidP="00E43AA5">
            <w:pPr>
              <w:ind w:left="34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Учебно-методический </w:t>
            </w:r>
            <w:r w:rsidRPr="00D66CEA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962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CEA">
              <w:rPr>
                <w:rFonts w:ascii="Times New Roman" w:hAnsi="Times New Roman" w:cs="Times New Roman"/>
                <w:sz w:val="24"/>
                <w:szCs w:val="24"/>
              </w:rPr>
              <w:t xml:space="preserve">по МДК </w:t>
            </w:r>
            <w:r w:rsidRPr="00D66CEA">
              <w:rPr>
                <w:rFonts w:ascii="Times New Roman" w:eastAsia="Calibri" w:hAnsi="Times New Roman" w:cs="Times New Roman"/>
                <w:sz w:val="24"/>
                <w:szCs w:val="24"/>
              </w:rPr>
              <w:t>03.01 Теоретические основы организации обучения</w:t>
            </w:r>
            <w:r w:rsidRPr="00D66C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66C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разных возрастных группах</w:t>
            </w:r>
          </w:p>
          <w:p w:rsidR="00267BE3" w:rsidRPr="00962E51" w:rsidRDefault="00267BE3" w:rsidP="00E43AA5">
            <w:pPr>
              <w:ind w:left="34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BE3" w:rsidRPr="00D66CEA" w:rsidRDefault="00267BE3" w:rsidP="00E43AA5">
            <w:pPr>
              <w:ind w:left="34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Учебно-методический комплекс по МДК Теоретические основы организации обучения в разных возрастных группах является частью профессионального модуля  03. </w:t>
            </w:r>
            <w:r w:rsidRPr="00D66C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Организация занятий по основным общеобразовательным программам дошкольного образования создан в помощь для работы на учебных </w:t>
            </w:r>
            <w:proofErr w:type="gramStart"/>
            <w:r w:rsidRPr="00D66CEA">
              <w:rPr>
                <w:rFonts w:ascii="Times New Roman" w:eastAsia="Calibri" w:hAnsi="Times New Roman" w:cs="Times New Roman"/>
                <w:sz w:val="24"/>
                <w:szCs w:val="24"/>
              </w:rPr>
              <w:t>лекциях,  при</w:t>
            </w:r>
            <w:proofErr w:type="gramEnd"/>
            <w:r w:rsidRPr="00D66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выполнении домашнего задания и подготовки к текущему и итоговому контролю по курсу.</w:t>
            </w:r>
          </w:p>
          <w:p w:rsidR="00267BE3" w:rsidRPr="00962E51" w:rsidRDefault="00267BE3" w:rsidP="00E43AA5">
            <w:pPr>
              <w:ind w:left="34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EA">
              <w:rPr>
                <w:rFonts w:ascii="Times New Roman" w:eastAsia="Calibri" w:hAnsi="Times New Roman" w:cs="Times New Roman"/>
                <w:sz w:val="24"/>
                <w:szCs w:val="24"/>
              </w:rPr>
              <w:t>УМК по МДК включает теоретический блок, перечень практических занятий, задания для самостоятельного изучения тем курса, вопросы для самоконтроля, перечень точек рубежного контроля, а также вопросы и задания по промежуточной аттестации – ДЗ (дифференцированный зачет).</w:t>
            </w:r>
            <w:r w:rsidRPr="00D66C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каждой теме в УМК перечислены основные понятия и термины, вопросы, необходимые для изучения (план изучения темы), а также краткая информация по каждому вопросу из подлежащих изучению.  Наличие тезисной информации по теме позволит Вам вспомнить ключевые моменты, рассмотренные преподавателем на лекциях.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E3" w:rsidRPr="00962E51" w:rsidRDefault="00267BE3" w:rsidP="00E43AA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 стр.</w:t>
            </w:r>
          </w:p>
        </w:tc>
      </w:tr>
      <w:tr w:rsidR="00267BE3" w:rsidRPr="00962E51" w:rsidTr="00E43AA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E3" w:rsidRPr="00962E51" w:rsidRDefault="00267BE3" w:rsidP="00E43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E3" w:rsidRPr="00962E51" w:rsidRDefault="00267BE3" w:rsidP="00E4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51">
              <w:rPr>
                <w:rFonts w:ascii="Times New Roman" w:hAnsi="Times New Roman" w:cs="Times New Roman"/>
                <w:bCs/>
                <w:sz w:val="24"/>
                <w:szCs w:val="24"/>
              </w:rPr>
              <w:t>КОС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E3" w:rsidRPr="00962E51" w:rsidRDefault="00267BE3" w:rsidP="00E43AA5">
            <w:pPr>
              <w:tabs>
                <w:tab w:val="left" w:pos="244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 по </w:t>
            </w:r>
            <w:r w:rsidRPr="00962E51">
              <w:rPr>
                <w:rFonts w:ascii="Times New Roman" w:hAnsi="Times New Roman" w:cs="Times New Roman"/>
                <w:sz w:val="24"/>
                <w:szCs w:val="24"/>
              </w:rPr>
              <w:t>ПМ.</w:t>
            </w:r>
            <w:r w:rsidRPr="00962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06 </w:t>
            </w:r>
            <w:r w:rsidRPr="00962E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мероприятий, направленных на речевое развитие дошкольников</w:t>
            </w:r>
            <w:r w:rsidRPr="0096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BE3" w:rsidRPr="00962E51" w:rsidRDefault="00267BE3" w:rsidP="00E43AA5">
            <w:pPr>
              <w:tabs>
                <w:tab w:val="left" w:pos="2443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BE3" w:rsidRPr="00962E51" w:rsidRDefault="00267BE3" w:rsidP="00E43AA5">
            <w:pPr>
              <w:keepNext/>
              <w:keepLines/>
              <w:suppressLineNumbers/>
              <w:tabs>
                <w:tab w:val="left" w:pos="2443"/>
              </w:tabs>
              <w:suppressAutoHyphens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962E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профессионального модуля.  </w:t>
            </w:r>
          </w:p>
          <w:p w:rsidR="00267BE3" w:rsidRPr="00962E51" w:rsidRDefault="00267BE3" w:rsidP="00E43AA5">
            <w:pPr>
              <w:keepNext/>
              <w:keepLines/>
              <w:suppressLineNumbers/>
              <w:tabs>
                <w:tab w:val="left" w:pos="2443"/>
              </w:tabs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2E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КОС включают контрольные материалы для проведения текущего контроля и промежуточной аттестации в форме зачета (З), Дифференцированного зачета (ДЗ), экзамена (Э).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E3" w:rsidRPr="00962E51" w:rsidRDefault="00267BE3" w:rsidP="00E43AA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стр.</w:t>
            </w:r>
          </w:p>
        </w:tc>
      </w:tr>
      <w:tr w:rsidR="00267BE3" w:rsidRPr="00962E51" w:rsidTr="00E43AA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E3" w:rsidRPr="00962E51" w:rsidRDefault="00267BE3" w:rsidP="00E43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E3" w:rsidRPr="00962E51" w:rsidRDefault="00267BE3" w:rsidP="00E4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51">
              <w:rPr>
                <w:rFonts w:ascii="Times New Roman" w:hAnsi="Times New Roman" w:cs="Times New Roman"/>
                <w:sz w:val="24"/>
                <w:szCs w:val="24"/>
              </w:rPr>
              <w:t>Учебно-практическое пособие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E3" w:rsidRPr="00962E51" w:rsidRDefault="00267BE3" w:rsidP="00E43AA5">
            <w:pPr>
              <w:ind w:left="34" w:right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Учебно-практическое пособие </w:t>
            </w:r>
          </w:p>
          <w:p w:rsidR="00267BE3" w:rsidRPr="00962E51" w:rsidRDefault="00267BE3" w:rsidP="00E43AA5">
            <w:pPr>
              <w:ind w:left="34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МДК 06.02 </w:t>
            </w:r>
            <w:r w:rsidRPr="0096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логопедии с практикумом по звукопроизношению</w:t>
            </w:r>
          </w:p>
          <w:p w:rsidR="00267BE3" w:rsidRPr="00962E51" w:rsidRDefault="00267BE3" w:rsidP="00E43AA5">
            <w:pPr>
              <w:ind w:left="34"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BE3" w:rsidRPr="00962E51" w:rsidRDefault="00267BE3" w:rsidP="00E43AA5">
            <w:pPr>
              <w:ind w:left="34" w:right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Учебно-практическое пособие по МДК 06.02 Основы логопедии с практикумом по звукопроизношению разработаны на основе Федерального государственного стандарта среднего профессионального образования (далее ФГОС СПО) </w:t>
            </w:r>
            <w:r w:rsidRPr="00962E51">
              <w:rPr>
                <w:rFonts w:ascii="Times New Roman" w:eastAsia="Calibri" w:hAnsi="Times New Roman" w:cs="Times New Roman"/>
                <w:sz w:val="24"/>
                <w:szCs w:val="24"/>
              </w:rPr>
              <w:t>44.02.01 Дошкольное образование</w:t>
            </w:r>
          </w:p>
          <w:p w:rsidR="00267BE3" w:rsidRPr="00962E51" w:rsidRDefault="00267BE3" w:rsidP="00E43AA5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Учебно-практическое пособие содержит теоретический материал по проблеме развития речевой моторики у детей дошкольного и младшего </w:t>
            </w:r>
            <w:r w:rsidRPr="0096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школьного возраста, сборник практических упражнений артикуляционной гимнастики.</w:t>
            </w:r>
          </w:p>
          <w:p w:rsidR="00267BE3" w:rsidRPr="00962E51" w:rsidRDefault="00267BE3" w:rsidP="00E43AA5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Пособие адресовано студентам IV курсов дневного и заочного отделения по специальности «Дошкольное образование». </w:t>
            </w:r>
          </w:p>
          <w:p w:rsidR="00267BE3" w:rsidRPr="00962E51" w:rsidRDefault="00267BE3" w:rsidP="00E43AA5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Данное пособие поможет овладеть теоретическими знаниями в области развития речевой моторики и практически овладеть навыками выполнения артикуляционной гимнастики и методикой ее выполнения.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E3" w:rsidRPr="00962E51" w:rsidRDefault="00267BE3" w:rsidP="00E43AA5">
            <w:pPr>
              <w:tabs>
                <w:tab w:val="left" w:pos="742"/>
              </w:tabs>
              <w:ind w:right="14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40 стр.</w:t>
            </w:r>
          </w:p>
          <w:p w:rsidR="00267BE3" w:rsidRPr="00962E51" w:rsidRDefault="00267BE3" w:rsidP="00E43AA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67BE3" w:rsidRPr="00962E51" w:rsidTr="00E43AA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E3" w:rsidRPr="00962E51" w:rsidRDefault="00267BE3" w:rsidP="00E43AA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E3" w:rsidRPr="00962E51" w:rsidRDefault="00267BE3" w:rsidP="00E4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51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E3" w:rsidRPr="00962E51" w:rsidRDefault="00267BE3" w:rsidP="00E43AA5">
            <w:pPr>
              <w:pStyle w:val="a3"/>
              <w:tabs>
                <w:tab w:val="left" w:pos="993"/>
                <w:tab w:val="left" w:pos="2443"/>
                <w:tab w:val="left" w:pos="2477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  <w:r w:rsidRPr="00962E51">
              <w:rPr>
                <w:sz w:val="24"/>
                <w:szCs w:val="24"/>
              </w:rPr>
              <w:t xml:space="preserve">Исследовательская работа на тему: </w:t>
            </w:r>
            <w:r w:rsidRPr="00962E51">
              <w:rPr>
                <w:rFonts w:eastAsia="Calibri"/>
                <w:sz w:val="24"/>
                <w:szCs w:val="24"/>
              </w:rPr>
              <w:t xml:space="preserve">«ВМЕСТЕ». Организация центра </w:t>
            </w:r>
            <w:proofErr w:type="spellStart"/>
            <w:r w:rsidRPr="00962E51">
              <w:rPr>
                <w:rFonts w:eastAsia="Calibri"/>
                <w:sz w:val="24"/>
                <w:szCs w:val="24"/>
              </w:rPr>
              <w:t>предшкольной</w:t>
            </w:r>
            <w:proofErr w:type="spellEnd"/>
            <w:r w:rsidRPr="00962E51">
              <w:rPr>
                <w:rFonts w:eastAsia="Calibri"/>
                <w:sz w:val="24"/>
                <w:szCs w:val="24"/>
              </w:rPr>
              <w:t xml:space="preserve"> подготовки на базе КГБПОУ ЧГТТ».</w:t>
            </w:r>
          </w:p>
          <w:p w:rsidR="00267BE3" w:rsidRPr="00962E51" w:rsidRDefault="00267BE3" w:rsidP="00E43AA5">
            <w:pPr>
              <w:tabs>
                <w:tab w:val="left" w:pos="2443"/>
                <w:tab w:val="left" w:pos="247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BE3" w:rsidRPr="00962E51" w:rsidRDefault="00267BE3" w:rsidP="00E43AA5">
            <w:pPr>
              <w:pStyle w:val="a3"/>
              <w:tabs>
                <w:tab w:val="left" w:pos="993"/>
                <w:tab w:val="left" w:pos="2443"/>
                <w:tab w:val="left" w:pos="247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962E51">
              <w:rPr>
                <w:sz w:val="24"/>
                <w:szCs w:val="24"/>
              </w:rPr>
              <w:t>Проект «</w:t>
            </w:r>
            <w:r w:rsidRPr="00962E51">
              <w:rPr>
                <w:rFonts w:eastAsia="Calibri"/>
                <w:sz w:val="24"/>
                <w:szCs w:val="24"/>
              </w:rPr>
              <w:t xml:space="preserve">ВМЕСТЕ». Организация центра </w:t>
            </w:r>
            <w:proofErr w:type="spellStart"/>
            <w:r w:rsidRPr="00962E51">
              <w:rPr>
                <w:rFonts w:eastAsia="Calibri"/>
                <w:sz w:val="24"/>
                <w:szCs w:val="24"/>
              </w:rPr>
              <w:t>предшкольной</w:t>
            </w:r>
            <w:proofErr w:type="spellEnd"/>
            <w:r w:rsidRPr="00962E51">
              <w:rPr>
                <w:rFonts w:eastAsia="Calibri"/>
                <w:sz w:val="24"/>
                <w:szCs w:val="24"/>
              </w:rPr>
              <w:t xml:space="preserve"> подготовки на базе КГБПОУ ЧГТТ</w:t>
            </w:r>
            <w:proofErr w:type="gramStart"/>
            <w:r w:rsidRPr="00962E51">
              <w:rPr>
                <w:rFonts w:eastAsia="Calibri"/>
                <w:sz w:val="24"/>
                <w:szCs w:val="24"/>
              </w:rPr>
              <w:t>»</w:t>
            </w:r>
            <w:r w:rsidRPr="00962E51">
              <w:rPr>
                <w:sz w:val="24"/>
                <w:szCs w:val="24"/>
              </w:rPr>
              <w:t>,  направленный</w:t>
            </w:r>
            <w:proofErr w:type="gramEnd"/>
            <w:r w:rsidRPr="00962E51">
              <w:rPr>
                <w:sz w:val="24"/>
                <w:szCs w:val="24"/>
              </w:rPr>
              <w:t xml:space="preserve"> на </w:t>
            </w:r>
            <w:r w:rsidRPr="00962E51">
              <w:rPr>
                <w:color w:val="000000"/>
                <w:sz w:val="24"/>
                <w:szCs w:val="24"/>
                <w:shd w:val="clear" w:color="auto" w:fill="FFFFFF"/>
              </w:rPr>
              <w:t>проблему</w:t>
            </w:r>
            <w:r w:rsidRPr="00962E51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организации психолого-педагогического сопровождения семьи по вопросам подготовки детей к школе</w:t>
            </w:r>
            <w:r w:rsidRPr="00962E51">
              <w:rPr>
                <w:sz w:val="24"/>
                <w:szCs w:val="24"/>
                <w:lang w:eastAsia="ru-RU"/>
              </w:rPr>
              <w:t>.</w:t>
            </w:r>
          </w:p>
          <w:p w:rsidR="00267BE3" w:rsidRPr="00962E51" w:rsidRDefault="00267BE3" w:rsidP="00E43AA5">
            <w:pPr>
              <w:tabs>
                <w:tab w:val="left" w:pos="2240"/>
                <w:tab w:val="left" w:pos="2443"/>
                <w:tab w:val="left" w:pos="247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Высокую практическую ценность представляет предложенная модель </w:t>
            </w:r>
            <w:proofErr w:type="spellStart"/>
            <w:r w:rsidRPr="0096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предшкольной</w:t>
            </w:r>
            <w:proofErr w:type="spellEnd"/>
            <w:r w:rsidRPr="0096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подготовки. Такая модель вполне может стать основой для разработки воспитательных программ, как и сама работа, может выступить основой деятельности образовательных учреждений по </w:t>
            </w:r>
            <w:proofErr w:type="spellStart"/>
            <w:r w:rsidRPr="0096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предшкольной</w:t>
            </w:r>
            <w:proofErr w:type="spellEnd"/>
            <w:r w:rsidRPr="0096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подготовке. Кроме того, работа содержит конкретный план реализации цели, что выступает необходимым условием организации подобного процесса. Проект будет полезен руководителям педагогических вузов, преподавателям, самим студентам в плане проектирования  </w:t>
            </w:r>
            <w:r w:rsidRPr="00962E51">
              <w:rPr>
                <w:rStyle w:val="h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профессионального развития</w:t>
            </w:r>
            <w:r w:rsidRPr="0096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7BE3" w:rsidRPr="00962E51" w:rsidRDefault="00267BE3" w:rsidP="00E43AA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стр.</w:t>
            </w:r>
          </w:p>
        </w:tc>
      </w:tr>
    </w:tbl>
    <w:p w:rsidR="00C17CC4" w:rsidRDefault="00BF6327"/>
    <w:sectPr w:rsidR="00C1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A2A62"/>
    <w:multiLevelType w:val="hybridMultilevel"/>
    <w:tmpl w:val="63FA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E3"/>
    <w:rsid w:val="00267BE3"/>
    <w:rsid w:val="00940B9D"/>
    <w:rsid w:val="00B61C01"/>
    <w:rsid w:val="00B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654E9-D1C3-4CB7-B188-64E22E94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7BE3"/>
    <w:pPr>
      <w:spacing w:after="0" w:line="240" w:lineRule="auto"/>
      <w:ind w:left="720" w:firstLine="709"/>
      <w:contextualSpacing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26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26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2019-02-14T08:20:00Z</dcterms:created>
  <dcterms:modified xsi:type="dcterms:W3CDTF">2019-02-14T08:20:00Z</dcterms:modified>
</cp:coreProperties>
</file>